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B389C" w14:textId="77777777" w:rsidR="00C60F57" w:rsidRDefault="00C60F57">
      <w:pPr>
        <w:jc w:val="center"/>
        <w:rPr>
          <w:b/>
          <w:sz w:val="32"/>
        </w:rPr>
      </w:pPr>
    </w:p>
    <w:p w14:paraId="34389E8F" w14:textId="77777777" w:rsidR="00C60F57" w:rsidRDefault="00C60F57"/>
    <w:tbl>
      <w:tblPr>
        <w:tblW w:w="0" w:type="auto"/>
        <w:jc w:val="center"/>
        <w:tblLook w:val="00A0" w:firstRow="1" w:lastRow="0" w:firstColumn="1" w:lastColumn="0" w:noHBand="0" w:noVBand="0"/>
      </w:tblPr>
      <w:tblGrid>
        <w:gridCol w:w="6044"/>
      </w:tblGrid>
      <w:tr w:rsidR="00C60F57" w14:paraId="39FB6A4F" w14:textId="77777777">
        <w:trPr>
          <w:trHeight w:val="782"/>
          <w:jc w:val="center"/>
        </w:trPr>
        <w:tc>
          <w:tcPr>
            <w:tcW w:w="6044" w:type="dxa"/>
          </w:tcPr>
          <w:p w14:paraId="7B279E93" w14:textId="77777777" w:rsidR="00C60F57" w:rsidRDefault="0058750C">
            <w:pPr>
              <w:jc w:val="center"/>
            </w:pPr>
            <w:r>
              <w:rPr>
                <w:rFonts w:ascii="Helvetica" w:hAnsi="Helvetica" w:cs="Helvetica"/>
                <w:noProof/>
                <w:lang w:val="en-US" w:eastAsia="nl-NL"/>
              </w:rPr>
              <w:drawing>
                <wp:inline distT="0" distB="0" distL="0" distR="0" wp14:anchorId="57844A75" wp14:editId="09295AC0">
                  <wp:extent cx="1473835" cy="75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835" cy="750570"/>
                          </a:xfrm>
                          <a:prstGeom prst="rect">
                            <a:avLst/>
                          </a:prstGeom>
                          <a:noFill/>
                          <a:ln>
                            <a:noFill/>
                          </a:ln>
                        </pic:spPr>
                      </pic:pic>
                    </a:graphicData>
                  </a:graphic>
                </wp:inline>
              </w:drawing>
            </w:r>
          </w:p>
        </w:tc>
      </w:tr>
    </w:tbl>
    <w:p w14:paraId="7D2A2ABE" w14:textId="77777777" w:rsidR="00C60F57" w:rsidRDefault="00C60F57">
      <w:pPr>
        <w:jc w:val="center"/>
        <w:rPr>
          <w:b/>
          <w:sz w:val="32"/>
        </w:rPr>
      </w:pPr>
    </w:p>
    <w:p w14:paraId="3B6388E6" w14:textId="77777777" w:rsidR="00C60F57" w:rsidRDefault="00C60F57"/>
    <w:p w14:paraId="7487B665" w14:textId="77777777" w:rsidR="00C60F57" w:rsidRDefault="00C60F57"/>
    <w:p w14:paraId="156D2E8A" w14:textId="77777777" w:rsidR="00C60F57" w:rsidRDefault="00C60F57"/>
    <w:p w14:paraId="189F22B3" w14:textId="77777777" w:rsidR="00C60F57" w:rsidRDefault="00C60F57"/>
    <w:p w14:paraId="2C02FA34" w14:textId="77777777" w:rsidR="00C60F57" w:rsidRDefault="00C60F57"/>
    <w:p w14:paraId="09457A2E" w14:textId="43856CAD" w:rsidR="00C60F57" w:rsidRDefault="009D51DE">
      <w:pPr>
        <w:jc w:val="center"/>
        <w:rPr>
          <w:b/>
          <w:sz w:val="52"/>
        </w:rPr>
      </w:pPr>
      <w:r>
        <w:rPr>
          <w:b/>
          <w:sz w:val="52"/>
        </w:rPr>
        <w:t>(Re)Design Guidelines</w:t>
      </w:r>
      <w:r w:rsidR="00C60F57">
        <w:rPr>
          <w:b/>
          <w:sz w:val="52"/>
        </w:rPr>
        <w:br/>
      </w:r>
    </w:p>
    <w:p w14:paraId="7332DBAA" w14:textId="1AA4AA70" w:rsidR="00C60F57" w:rsidRDefault="00C60F57">
      <w:pPr>
        <w:jc w:val="center"/>
        <w:rPr>
          <w:b/>
          <w:sz w:val="72"/>
        </w:rPr>
      </w:pPr>
      <w:r>
        <w:rPr>
          <w:b/>
          <w:sz w:val="32"/>
          <w:lang w:val="en-US"/>
        </w:rPr>
        <w:t>Guidelines for teachers for developing IBST-oriented classroom materials for science and mathematics</w:t>
      </w:r>
      <w:r w:rsidR="009D51DE">
        <w:rPr>
          <w:b/>
          <w:sz w:val="72"/>
        </w:rPr>
        <w:t xml:space="preserve"> </w:t>
      </w:r>
      <w:r>
        <w:rPr>
          <w:b/>
          <w:sz w:val="32"/>
          <w:lang w:val="en-US"/>
        </w:rPr>
        <w:t xml:space="preserve">using workplace contexts </w:t>
      </w:r>
    </w:p>
    <w:p w14:paraId="01220E95" w14:textId="77777777" w:rsidR="00C60F57" w:rsidRDefault="00C60F57">
      <w:pPr>
        <w:jc w:val="center"/>
        <w:rPr>
          <w:b/>
          <w:sz w:val="52"/>
        </w:rPr>
      </w:pPr>
    </w:p>
    <w:p w14:paraId="12962D7E" w14:textId="77777777" w:rsidR="00C60F57" w:rsidRDefault="00C60F57"/>
    <w:p w14:paraId="3D2D4451" w14:textId="77777777" w:rsidR="002F0438" w:rsidRPr="002F0438" w:rsidRDefault="002F0438" w:rsidP="002F0438">
      <w:pPr>
        <w:jc w:val="center"/>
        <w:rPr>
          <w:b/>
          <w:sz w:val="28"/>
        </w:rPr>
      </w:pPr>
      <w:r w:rsidRPr="002F0438">
        <w:rPr>
          <w:b/>
          <w:sz w:val="28"/>
        </w:rPr>
        <w:t>Connecting inquiry-based learning (IBL)</w:t>
      </w:r>
    </w:p>
    <w:p w14:paraId="4BF68897" w14:textId="77777777" w:rsidR="002F0438" w:rsidRDefault="002F0438" w:rsidP="002F0438">
      <w:pPr>
        <w:jc w:val="center"/>
        <w:rPr>
          <w:b/>
          <w:sz w:val="28"/>
        </w:rPr>
      </w:pPr>
      <w:r w:rsidRPr="002F0438">
        <w:rPr>
          <w:b/>
          <w:sz w:val="28"/>
        </w:rPr>
        <w:t>in mathematics and science</w:t>
      </w:r>
    </w:p>
    <w:p w14:paraId="04A4B12A" w14:textId="4BE2E76B" w:rsidR="002F0438" w:rsidRPr="002F0438" w:rsidRDefault="002F0438" w:rsidP="002F0438">
      <w:pPr>
        <w:jc w:val="center"/>
        <w:rPr>
          <w:b/>
          <w:sz w:val="28"/>
        </w:rPr>
      </w:pPr>
      <w:r>
        <w:rPr>
          <w:b/>
          <w:sz w:val="28"/>
        </w:rPr>
        <w:t>t</w:t>
      </w:r>
      <w:r w:rsidRPr="002F0438">
        <w:rPr>
          <w:b/>
          <w:sz w:val="28"/>
        </w:rPr>
        <w:t>o the World of Work (WoW)</w:t>
      </w:r>
    </w:p>
    <w:p w14:paraId="265BF991" w14:textId="77777777" w:rsidR="00C60F57" w:rsidRDefault="00C60F57"/>
    <w:p w14:paraId="3181F6E5" w14:textId="792B79F6" w:rsidR="00C60F57" w:rsidRDefault="00A4531D">
      <w:r>
        <w:t>version 0.9</w:t>
      </w:r>
      <w:r w:rsidR="008B7931">
        <w:t>6</w:t>
      </w:r>
    </w:p>
    <w:p w14:paraId="61E98EC3" w14:textId="6379D452" w:rsidR="00C60F57" w:rsidRDefault="00C60F57">
      <w:r>
        <w:t xml:space="preserve">Date: </w:t>
      </w:r>
      <w:r w:rsidR="008B7931">
        <w:t>4</w:t>
      </w:r>
      <w:r w:rsidR="009D51DE">
        <w:t>-</w:t>
      </w:r>
      <w:r w:rsidR="00926771">
        <w:t>6</w:t>
      </w:r>
      <w:r w:rsidR="009D51DE">
        <w:t>-2014</w:t>
      </w:r>
    </w:p>
    <w:p w14:paraId="5816AFAF" w14:textId="77777777" w:rsidR="00C60F57" w:rsidRDefault="00C60F57"/>
    <w:p w14:paraId="795EB0D3" w14:textId="77777777" w:rsidR="00C60F57" w:rsidRDefault="00C60F57"/>
    <w:p w14:paraId="40B29034" w14:textId="77777777" w:rsidR="00C60F57" w:rsidRDefault="00C60F57"/>
    <w:p w14:paraId="1D52F6FB" w14:textId="77777777" w:rsidR="00C60F57" w:rsidRDefault="00C60F57"/>
    <w:p w14:paraId="12D9B7BB" w14:textId="77777777" w:rsidR="00C60F57" w:rsidRDefault="00C60F57"/>
    <w:p w14:paraId="456A2B6B" w14:textId="77777777" w:rsidR="00C60F57" w:rsidRDefault="00C60F57"/>
    <w:p w14:paraId="15108157" w14:textId="77777777" w:rsidR="00C60F57" w:rsidRDefault="00C60F57">
      <w:pPr>
        <w:rPr>
          <w:rFonts w:ascii="Calibri" w:eastAsia="MS Gothic" w:hAnsi="Calibri"/>
          <w:b/>
          <w:bCs/>
          <w:color w:val="345A8A"/>
          <w:sz w:val="32"/>
          <w:szCs w:val="32"/>
        </w:rPr>
      </w:pPr>
      <w:r>
        <w:br w:type="page"/>
      </w:r>
    </w:p>
    <w:p w14:paraId="353E9570" w14:textId="27F64442" w:rsidR="00C60F57" w:rsidRDefault="00AB7FE7">
      <w:pPr>
        <w:pStyle w:val="Kop1"/>
      </w:pPr>
      <w:bookmarkStart w:id="0" w:name="_Toc389464909"/>
      <w:r>
        <w:lastRenderedPageBreak/>
        <w:t>Colophon</w:t>
      </w:r>
      <w:bookmarkEnd w:id="0"/>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405"/>
        <w:gridCol w:w="4751"/>
      </w:tblGrid>
      <w:tr w:rsidR="00C60F57" w14:paraId="729A63F6" w14:textId="77777777">
        <w:trPr>
          <w:trHeight w:val="237"/>
          <w:jc w:val="center"/>
        </w:trPr>
        <w:tc>
          <w:tcPr>
            <w:tcW w:w="2405" w:type="dxa"/>
          </w:tcPr>
          <w:p w14:paraId="3CF7B152" w14:textId="2E5DB3A6" w:rsidR="00C60F57" w:rsidRDefault="009D51DE">
            <w:pPr>
              <w:rPr>
                <w:lang w:val="nl-NL"/>
              </w:rPr>
            </w:pPr>
            <w:r>
              <w:rPr>
                <w:lang w:val="nl-NL"/>
              </w:rPr>
              <w:t>Title</w:t>
            </w:r>
          </w:p>
        </w:tc>
        <w:tc>
          <w:tcPr>
            <w:tcW w:w="4751" w:type="dxa"/>
          </w:tcPr>
          <w:p w14:paraId="055A6325" w14:textId="77777777" w:rsidR="00C60F57" w:rsidRDefault="00C60F57">
            <w:r>
              <w:t>MaScil WP3 – Guidelines</w:t>
            </w:r>
          </w:p>
          <w:p w14:paraId="779A3970" w14:textId="4496393B" w:rsidR="00C60F57" w:rsidRDefault="00CD5BEC">
            <w:r>
              <w:rPr>
                <w:rFonts w:ascii="139E9f04ArialUnicodeMS" w:hAnsi="139E9f04ArialUnicodeMS" w:cs="139E9f04ArialUnicodeMS"/>
                <w:sz w:val="20"/>
                <w:szCs w:val="20"/>
                <w:lang w:val="en-US"/>
              </w:rPr>
              <w:t xml:space="preserve">Guidelines </w:t>
            </w:r>
            <w:r w:rsidR="00C60F57">
              <w:rPr>
                <w:rFonts w:ascii="139E9f04ArialUnicodeMS" w:hAnsi="139E9f04ArialUnicodeMS" w:cs="139E9f04ArialUnicodeMS"/>
                <w:sz w:val="20"/>
                <w:szCs w:val="20"/>
                <w:lang w:val="en-US"/>
              </w:rPr>
              <w:t>for teachers for developing IBST-oriented classroom materials for science and mathematics using workplace contexts from industry</w:t>
            </w:r>
          </w:p>
        </w:tc>
      </w:tr>
      <w:tr w:rsidR="00C60F57" w14:paraId="63CB7642" w14:textId="77777777">
        <w:trPr>
          <w:trHeight w:val="237"/>
          <w:jc w:val="center"/>
        </w:trPr>
        <w:tc>
          <w:tcPr>
            <w:tcW w:w="2405" w:type="dxa"/>
          </w:tcPr>
          <w:p w14:paraId="27F9D253" w14:textId="77777777" w:rsidR="00C60F57" w:rsidRDefault="00C60F57">
            <w:pPr>
              <w:rPr>
                <w:lang w:val="nl-NL"/>
              </w:rPr>
            </w:pPr>
            <w:r>
              <w:rPr>
                <w:lang w:val="nl-NL"/>
              </w:rPr>
              <w:t>Coordinator</w:t>
            </w:r>
          </w:p>
        </w:tc>
        <w:tc>
          <w:tcPr>
            <w:tcW w:w="4751" w:type="dxa"/>
          </w:tcPr>
          <w:p w14:paraId="36067AAB" w14:textId="77777777" w:rsidR="00C60F57" w:rsidRDefault="00C60F57">
            <w:r>
              <w:t>University of Education Freiburg</w:t>
            </w:r>
          </w:p>
          <w:p w14:paraId="319CB4A9" w14:textId="77777777" w:rsidR="00C60F57" w:rsidRDefault="00C60F57">
            <w:r>
              <w:t>Prof. Dr. Katja Maaß</w:t>
            </w:r>
          </w:p>
        </w:tc>
      </w:tr>
      <w:tr w:rsidR="00C60F57" w14:paraId="33C128C7" w14:textId="77777777">
        <w:trPr>
          <w:trHeight w:val="247"/>
          <w:jc w:val="center"/>
        </w:trPr>
        <w:tc>
          <w:tcPr>
            <w:tcW w:w="2405" w:type="dxa"/>
          </w:tcPr>
          <w:p w14:paraId="0F84AB08" w14:textId="77777777" w:rsidR="00C60F57" w:rsidRDefault="00C60F57">
            <w:pPr>
              <w:rPr>
                <w:lang w:val="nl-NL"/>
              </w:rPr>
            </w:pPr>
            <w:r>
              <w:rPr>
                <w:lang w:val="nl-NL"/>
              </w:rPr>
              <w:t>Website</w:t>
            </w:r>
          </w:p>
        </w:tc>
        <w:tc>
          <w:tcPr>
            <w:tcW w:w="4751" w:type="dxa"/>
          </w:tcPr>
          <w:p w14:paraId="6FA1F858" w14:textId="77777777" w:rsidR="00C60F57" w:rsidRDefault="00C60F57">
            <w:pPr>
              <w:rPr>
                <w:lang w:val="nl-NL"/>
              </w:rPr>
            </w:pPr>
            <w:r>
              <w:rPr>
                <w:lang w:val="nl-NL"/>
              </w:rPr>
              <w:t>www.mascil-project.eu</w:t>
            </w:r>
          </w:p>
        </w:tc>
      </w:tr>
      <w:tr w:rsidR="009D51DE" w14:paraId="056FDFAD" w14:textId="77777777">
        <w:trPr>
          <w:trHeight w:val="247"/>
          <w:jc w:val="center"/>
        </w:trPr>
        <w:tc>
          <w:tcPr>
            <w:tcW w:w="2405" w:type="dxa"/>
          </w:tcPr>
          <w:p w14:paraId="0F84385E" w14:textId="2FE49CBB" w:rsidR="009D51DE" w:rsidRDefault="009D51DE">
            <w:pPr>
              <w:rPr>
                <w:lang w:val="nl-NL"/>
              </w:rPr>
            </w:pPr>
            <w:r>
              <w:rPr>
                <w:lang w:val="nl-NL"/>
              </w:rPr>
              <w:t>Authors</w:t>
            </w:r>
          </w:p>
        </w:tc>
        <w:tc>
          <w:tcPr>
            <w:tcW w:w="4751" w:type="dxa"/>
          </w:tcPr>
          <w:p w14:paraId="5E733973" w14:textId="03D5965B" w:rsidR="009D51DE" w:rsidRDefault="009D51DE" w:rsidP="009D51DE">
            <w:pPr>
              <w:rPr>
                <w:lang w:val="nl-NL"/>
              </w:rPr>
            </w:pPr>
            <w:r>
              <w:rPr>
                <w:lang w:val="nl-NL"/>
              </w:rPr>
              <w:t>Michiel Doorman, Sabine Fechner, Vincent Jonker, Monica Wijers</w:t>
            </w:r>
          </w:p>
        </w:tc>
      </w:tr>
    </w:tbl>
    <w:p w14:paraId="78BD2500" w14:textId="77777777" w:rsidR="00C60F57" w:rsidRPr="009B0B7D" w:rsidRDefault="00C60F57">
      <w:pPr>
        <w:rPr>
          <w:lang w:val="en-US"/>
        </w:rPr>
      </w:pPr>
    </w:p>
    <w:p w14:paraId="7A667AB2" w14:textId="717777EA" w:rsidR="00C60F57" w:rsidRDefault="00C60F57">
      <w:pPr>
        <w:rPr>
          <w:lang w:val="nl-NL"/>
        </w:rPr>
      </w:pPr>
      <w:r>
        <w:rPr>
          <w:lang w:val="nl-NL"/>
        </w:rPr>
        <w:t>Versions</w:t>
      </w:r>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578"/>
        <w:gridCol w:w="3578"/>
      </w:tblGrid>
      <w:tr w:rsidR="00CD0E46" w:rsidRPr="009E7646" w14:paraId="6C19B22F" w14:textId="77777777">
        <w:trPr>
          <w:trHeight w:val="237"/>
          <w:jc w:val="center"/>
        </w:trPr>
        <w:tc>
          <w:tcPr>
            <w:tcW w:w="3578" w:type="dxa"/>
          </w:tcPr>
          <w:p w14:paraId="341789A0" w14:textId="0FC6F152" w:rsidR="00CD0E46" w:rsidRDefault="00CD0E46" w:rsidP="00926771">
            <w:pPr>
              <w:rPr>
                <w:lang w:val="nl-NL"/>
              </w:rPr>
            </w:pPr>
            <w:r>
              <w:rPr>
                <w:lang w:val="nl-NL"/>
              </w:rPr>
              <w:t>20140</w:t>
            </w:r>
            <w:r w:rsidR="00926771">
              <w:rPr>
                <w:lang w:val="nl-NL"/>
              </w:rPr>
              <w:t>60</w:t>
            </w:r>
            <w:r w:rsidR="008B7931">
              <w:rPr>
                <w:lang w:val="nl-NL"/>
              </w:rPr>
              <w:t>4</w:t>
            </w:r>
          </w:p>
        </w:tc>
        <w:tc>
          <w:tcPr>
            <w:tcW w:w="3578" w:type="dxa"/>
          </w:tcPr>
          <w:p w14:paraId="06079632" w14:textId="3B493F55" w:rsidR="00CD0E46" w:rsidRDefault="00CD0E46" w:rsidP="009B0B7D">
            <w:pPr>
              <w:rPr>
                <w:lang w:val="nl-NL"/>
              </w:rPr>
            </w:pPr>
            <w:r>
              <w:rPr>
                <w:lang w:val="nl-NL"/>
              </w:rPr>
              <w:t>0.9</w:t>
            </w:r>
            <w:r w:rsidR="008B7931">
              <w:rPr>
                <w:lang w:val="nl-NL"/>
              </w:rPr>
              <w:t>6</w:t>
            </w:r>
            <w:bookmarkStart w:id="1" w:name="_GoBack"/>
            <w:bookmarkEnd w:id="1"/>
          </w:p>
        </w:tc>
      </w:tr>
      <w:tr w:rsidR="009D51DE" w:rsidRPr="009E7646" w14:paraId="69C69023" w14:textId="77777777">
        <w:trPr>
          <w:trHeight w:val="237"/>
          <w:jc w:val="center"/>
        </w:trPr>
        <w:tc>
          <w:tcPr>
            <w:tcW w:w="3578" w:type="dxa"/>
          </w:tcPr>
          <w:p w14:paraId="28232544" w14:textId="286351A3" w:rsidR="009D51DE" w:rsidRDefault="009D51DE">
            <w:pPr>
              <w:rPr>
                <w:lang w:val="nl-NL"/>
              </w:rPr>
            </w:pPr>
            <w:r>
              <w:rPr>
                <w:lang w:val="nl-NL"/>
              </w:rPr>
              <w:t>2014051</w:t>
            </w:r>
            <w:r w:rsidR="00A4531D">
              <w:rPr>
                <w:lang w:val="nl-NL"/>
              </w:rPr>
              <w:t>2</w:t>
            </w:r>
          </w:p>
        </w:tc>
        <w:tc>
          <w:tcPr>
            <w:tcW w:w="3578" w:type="dxa"/>
          </w:tcPr>
          <w:p w14:paraId="6759595F" w14:textId="2DA55DF6" w:rsidR="009D51DE" w:rsidRDefault="009D51DE" w:rsidP="00AB7FE7">
            <w:pPr>
              <w:rPr>
                <w:lang w:val="nl-NL"/>
              </w:rPr>
            </w:pPr>
            <w:r>
              <w:rPr>
                <w:lang w:val="nl-NL"/>
              </w:rPr>
              <w:t>0.9</w:t>
            </w:r>
            <w:r w:rsidR="00A4531D">
              <w:rPr>
                <w:lang w:val="nl-NL"/>
              </w:rPr>
              <w:t>1</w:t>
            </w:r>
            <w:r w:rsidR="002129B4">
              <w:rPr>
                <w:lang w:val="nl-NL"/>
              </w:rPr>
              <w:t xml:space="preserve"> </w:t>
            </w:r>
          </w:p>
        </w:tc>
      </w:tr>
      <w:tr w:rsidR="0070247E" w:rsidRPr="009E7646" w14:paraId="3EC4D2E1" w14:textId="77777777">
        <w:trPr>
          <w:trHeight w:val="237"/>
          <w:jc w:val="center"/>
        </w:trPr>
        <w:tc>
          <w:tcPr>
            <w:tcW w:w="3578" w:type="dxa"/>
          </w:tcPr>
          <w:p w14:paraId="4833508C" w14:textId="1FDAE193" w:rsidR="0070247E" w:rsidRDefault="0070247E">
            <w:pPr>
              <w:rPr>
                <w:lang w:val="nl-NL"/>
              </w:rPr>
            </w:pPr>
            <w:r>
              <w:rPr>
                <w:lang w:val="nl-NL"/>
              </w:rPr>
              <w:t>20140428</w:t>
            </w:r>
          </w:p>
        </w:tc>
        <w:tc>
          <w:tcPr>
            <w:tcW w:w="3578" w:type="dxa"/>
          </w:tcPr>
          <w:p w14:paraId="73A5E811" w14:textId="2B0C8418" w:rsidR="0070247E" w:rsidRDefault="0070247E" w:rsidP="009B0B7D">
            <w:pPr>
              <w:rPr>
                <w:lang w:val="nl-NL"/>
              </w:rPr>
            </w:pPr>
            <w:r>
              <w:rPr>
                <w:lang w:val="nl-NL"/>
              </w:rPr>
              <w:t>0.9</w:t>
            </w:r>
          </w:p>
        </w:tc>
      </w:tr>
      <w:tr w:rsidR="002D1527" w:rsidRPr="009E7646" w14:paraId="250974FC" w14:textId="77777777">
        <w:trPr>
          <w:trHeight w:val="237"/>
          <w:jc w:val="center"/>
        </w:trPr>
        <w:tc>
          <w:tcPr>
            <w:tcW w:w="3578" w:type="dxa"/>
          </w:tcPr>
          <w:p w14:paraId="189AC938" w14:textId="76D9B1DF" w:rsidR="002D1527" w:rsidRDefault="002D1527">
            <w:pPr>
              <w:rPr>
                <w:lang w:val="nl-NL"/>
              </w:rPr>
            </w:pPr>
            <w:r>
              <w:rPr>
                <w:lang w:val="nl-NL"/>
              </w:rPr>
              <w:t>20140320</w:t>
            </w:r>
          </w:p>
        </w:tc>
        <w:tc>
          <w:tcPr>
            <w:tcW w:w="3578" w:type="dxa"/>
          </w:tcPr>
          <w:p w14:paraId="05262FEE" w14:textId="1889BF69" w:rsidR="002D1527" w:rsidRDefault="002D1527" w:rsidP="009B0B7D">
            <w:pPr>
              <w:rPr>
                <w:lang w:val="nl-NL"/>
              </w:rPr>
            </w:pPr>
            <w:r>
              <w:rPr>
                <w:lang w:val="nl-NL"/>
              </w:rPr>
              <w:t>0.8</w:t>
            </w:r>
          </w:p>
        </w:tc>
      </w:tr>
      <w:tr w:rsidR="009B0B7D" w:rsidRPr="009E7646" w14:paraId="7AF8C668" w14:textId="77777777">
        <w:trPr>
          <w:trHeight w:val="237"/>
          <w:jc w:val="center"/>
        </w:trPr>
        <w:tc>
          <w:tcPr>
            <w:tcW w:w="3578" w:type="dxa"/>
          </w:tcPr>
          <w:p w14:paraId="2084DA6A" w14:textId="34E082DC" w:rsidR="009B0B7D" w:rsidRDefault="009B0B7D">
            <w:pPr>
              <w:rPr>
                <w:lang w:val="nl-NL"/>
              </w:rPr>
            </w:pPr>
            <w:r>
              <w:rPr>
                <w:lang w:val="nl-NL"/>
              </w:rPr>
              <w:t>20140312</w:t>
            </w:r>
          </w:p>
        </w:tc>
        <w:tc>
          <w:tcPr>
            <w:tcW w:w="3578" w:type="dxa"/>
          </w:tcPr>
          <w:p w14:paraId="23BBE97B" w14:textId="0A710560" w:rsidR="009B0B7D" w:rsidRDefault="009B0B7D" w:rsidP="009B0B7D">
            <w:pPr>
              <w:rPr>
                <w:lang w:val="nl-NL"/>
              </w:rPr>
            </w:pPr>
            <w:r>
              <w:rPr>
                <w:lang w:val="nl-NL"/>
              </w:rPr>
              <w:t xml:space="preserve">0.7 </w:t>
            </w:r>
          </w:p>
        </w:tc>
      </w:tr>
      <w:tr w:rsidR="009E7646" w:rsidRPr="009E7646" w14:paraId="35A7E737" w14:textId="77777777">
        <w:trPr>
          <w:trHeight w:val="237"/>
          <w:jc w:val="center"/>
        </w:trPr>
        <w:tc>
          <w:tcPr>
            <w:tcW w:w="3578" w:type="dxa"/>
          </w:tcPr>
          <w:p w14:paraId="69F5AA6D" w14:textId="192D6DF6" w:rsidR="009E7646" w:rsidRDefault="00F52F6C">
            <w:pPr>
              <w:rPr>
                <w:lang w:val="nl-NL"/>
              </w:rPr>
            </w:pPr>
            <w:r>
              <w:rPr>
                <w:lang w:val="nl-NL"/>
              </w:rPr>
              <w:t>20140306</w:t>
            </w:r>
          </w:p>
        </w:tc>
        <w:tc>
          <w:tcPr>
            <w:tcW w:w="3578" w:type="dxa"/>
          </w:tcPr>
          <w:p w14:paraId="1098169B" w14:textId="777D980A" w:rsidR="009E7646" w:rsidRDefault="009E7646" w:rsidP="00F52F6C">
            <w:pPr>
              <w:rPr>
                <w:lang w:val="nl-NL"/>
              </w:rPr>
            </w:pPr>
            <w:r>
              <w:rPr>
                <w:lang w:val="nl-NL"/>
              </w:rPr>
              <w:t xml:space="preserve">0.6 </w:t>
            </w:r>
          </w:p>
        </w:tc>
      </w:tr>
      <w:tr w:rsidR="00FC6108" w14:paraId="2A7B9DE5" w14:textId="77777777">
        <w:trPr>
          <w:trHeight w:val="237"/>
          <w:jc w:val="center"/>
        </w:trPr>
        <w:tc>
          <w:tcPr>
            <w:tcW w:w="3578" w:type="dxa"/>
          </w:tcPr>
          <w:p w14:paraId="2A0D495B" w14:textId="31B1CE47" w:rsidR="00FC6108" w:rsidRDefault="00081194">
            <w:pPr>
              <w:rPr>
                <w:lang w:val="nl-NL"/>
              </w:rPr>
            </w:pPr>
            <w:r>
              <w:rPr>
                <w:lang w:val="nl-NL"/>
              </w:rPr>
              <w:t>20140224</w:t>
            </w:r>
          </w:p>
        </w:tc>
        <w:tc>
          <w:tcPr>
            <w:tcW w:w="3578" w:type="dxa"/>
          </w:tcPr>
          <w:p w14:paraId="5AC3F42F" w14:textId="3A819FFD" w:rsidR="00FC6108" w:rsidRDefault="00FC6108">
            <w:pPr>
              <w:rPr>
                <w:lang w:val="nl-NL"/>
              </w:rPr>
            </w:pPr>
            <w:r>
              <w:rPr>
                <w:lang w:val="nl-NL"/>
              </w:rPr>
              <w:t>0.5</w:t>
            </w:r>
          </w:p>
        </w:tc>
      </w:tr>
      <w:tr w:rsidR="00C60F57" w14:paraId="60D27AA6" w14:textId="77777777">
        <w:trPr>
          <w:trHeight w:val="237"/>
          <w:jc w:val="center"/>
        </w:trPr>
        <w:tc>
          <w:tcPr>
            <w:tcW w:w="3578" w:type="dxa"/>
          </w:tcPr>
          <w:p w14:paraId="487E0A1B" w14:textId="77777777" w:rsidR="00C60F57" w:rsidRDefault="00C60F57">
            <w:pPr>
              <w:rPr>
                <w:lang w:val="nl-NL"/>
              </w:rPr>
            </w:pPr>
            <w:r>
              <w:rPr>
                <w:lang w:val="nl-NL"/>
              </w:rPr>
              <w:t>20131204</w:t>
            </w:r>
          </w:p>
        </w:tc>
        <w:tc>
          <w:tcPr>
            <w:tcW w:w="3578" w:type="dxa"/>
          </w:tcPr>
          <w:p w14:paraId="26568900" w14:textId="77777777" w:rsidR="00C60F57" w:rsidRDefault="00C60F57">
            <w:pPr>
              <w:rPr>
                <w:lang w:val="nl-NL"/>
              </w:rPr>
            </w:pPr>
            <w:r>
              <w:rPr>
                <w:lang w:val="nl-NL"/>
              </w:rPr>
              <w:t>0.4</w:t>
            </w:r>
          </w:p>
        </w:tc>
      </w:tr>
      <w:tr w:rsidR="00C60F57" w14:paraId="0C9BFBDE" w14:textId="77777777">
        <w:trPr>
          <w:trHeight w:val="237"/>
          <w:jc w:val="center"/>
        </w:trPr>
        <w:tc>
          <w:tcPr>
            <w:tcW w:w="3578" w:type="dxa"/>
          </w:tcPr>
          <w:p w14:paraId="05B80E3F" w14:textId="77777777" w:rsidR="00C60F57" w:rsidRDefault="00C60F57">
            <w:pPr>
              <w:rPr>
                <w:lang w:val="nl-NL"/>
              </w:rPr>
            </w:pPr>
            <w:r>
              <w:rPr>
                <w:lang w:val="nl-NL"/>
              </w:rPr>
              <w:t>20131031</w:t>
            </w:r>
          </w:p>
        </w:tc>
        <w:tc>
          <w:tcPr>
            <w:tcW w:w="3578" w:type="dxa"/>
          </w:tcPr>
          <w:p w14:paraId="0107357F" w14:textId="77777777" w:rsidR="00C60F57" w:rsidRDefault="00C60F57">
            <w:pPr>
              <w:rPr>
                <w:lang w:val="nl-NL"/>
              </w:rPr>
            </w:pPr>
            <w:r>
              <w:rPr>
                <w:lang w:val="nl-NL"/>
              </w:rPr>
              <w:t>0.3</w:t>
            </w:r>
          </w:p>
        </w:tc>
      </w:tr>
      <w:tr w:rsidR="00C60F57" w14:paraId="64B8ECD3" w14:textId="77777777">
        <w:trPr>
          <w:trHeight w:val="237"/>
          <w:jc w:val="center"/>
        </w:trPr>
        <w:tc>
          <w:tcPr>
            <w:tcW w:w="3578" w:type="dxa"/>
          </w:tcPr>
          <w:p w14:paraId="571A2600" w14:textId="77777777" w:rsidR="00C60F57" w:rsidRDefault="00C60F57">
            <w:pPr>
              <w:rPr>
                <w:lang w:val="nl-NL"/>
              </w:rPr>
            </w:pPr>
            <w:r>
              <w:rPr>
                <w:lang w:val="nl-NL"/>
              </w:rPr>
              <w:t>20131023</w:t>
            </w:r>
          </w:p>
        </w:tc>
        <w:tc>
          <w:tcPr>
            <w:tcW w:w="3578" w:type="dxa"/>
          </w:tcPr>
          <w:p w14:paraId="2130B5BE" w14:textId="77777777" w:rsidR="00C60F57" w:rsidRDefault="00C60F57">
            <w:pPr>
              <w:rPr>
                <w:lang w:val="nl-NL"/>
              </w:rPr>
            </w:pPr>
            <w:r>
              <w:rPr>
                <w:lang w:val="nl-NL"/>
              </w:rPr>
              <w:t>0.2</w:t>
            </w:r>
          </w:p>
        </w:tc>
      </w:tr>
      <w:tr w:rsidR="00C60F57" w14:paraId="6A270D46" w14:textId="77777777">
        <w:trPr>
          <w:trHeight w:val="237"/>
          <w:jc w:val="center"/>
        </w:trPr>
        <w:tc>
          <w:tcPr>
            <w:tcW w:w="3578" w:type="dxa"/>
          </w:tcPr>
          <w:p w14:paraId="25623A56" w14:textId="77777777" w:rsidR="00C60F57" w:rsidRDefault="00C60F57">
            <w:pPr>
              <w:rPr>
                <w:lang w:val="nl-NL"/>
              </w:rPr>
            </w:pPr>
            <w:r>
              <w:rPr>
                <w:lang w:val="nl-NL"/>
              </w:rPr>
              <w:t>20130715</w:t>
            </w:r>
          </w:p>
        </w:tc>
        <w:tc>
          <w:tcPr>
            <w:tcW w:w="3578" w:type="dxa"/>
          </w:tcPr>
          <w:p w14:paraId="4464CD5C" w14:textId="77777777" w:rsidR="00C60F57" w:rsidRDefault="00C60F57">
            <w:pPr>
              <w:rPr>
                <w:lang w:val="nl-NL"/>
              </w:rPr>
            </w:pPr>
            <w:r>
              <w:rPr>
                <w:lang w:val="nl-NL"/>
              </w:rPr>
              <w:t>0.1</w:t>
            </w:r>
          </w:p>
        </w:tc>
      </w:tr>
    </w:tbl>
    <w:p w14:paraId="773521E0" w14:textId="77777777" w:rsidR="00C60F57" w:rsidRDefault="00C60F57">
      <w:pPr>
        <w:rPr>
          <w:lang w:val="nl-NL"/>
        </w:rPr>
      </w:pPr>
    </w:p>
    <w:p w14:paraId="167EB916" w14:textId="0F4046D2" w:rsidR="00081194" w:rsidRDefault="00081194">
      <w:pPr>
        <w:rPr>
          <w:lang w:val="nl-NL"/>
        </w:rPr>
      </w:pPr>
    </w:p>
    <w:p w14:paraId="4C617A59" w14:textId="5884DFAE" w:rsidR="00C60F57" w:rsidRPr="009E7646" w:rsidRDefault="00C60F57">
      <w:pPr>
        <w:rPr>
          <w:rFonts w:ascii="Calibri" w:eastAsia="MS Gothic" w:hAnsi="Calibri"/>
          <w:b/>
          <w:bCs/>
          <w:color w:val="345A8A"/>
          <w:sz w:val="36"/>
          <w:szCs w:val="32"/>
          <w:lang w:val="en-US"/>
        </w:rPr>
      </w:pPr>
    </w:p>
    <w:p w14:paraId="529F786E" w14:textId="77777777" w:rsidR="00C60F57" w:rsidRDefault="00C60F57">
      <w:pPr>
        <w:pStyle w:val="Kop1"/>
        <w:rPr>
          <w:lang w:val="en-US"/>
        </w:rPr>
      </w:pPr>
      <w:bookmarkStart w:id="2" w:name="_Toc389464910"/>
      <w:r>
        <w:rPr>
          <w:lang w:val="en-US"/>
        </w:rPr>
        <w:t>Table of Contents</w:t>
      </w:r>
      <w:bookmarkEnd w:id="2"/>
    </w:p>
    <w:p w14:paraId="7AC1DBC6" w14:textId="77777777" w:rsidR="0051125E" w:rsidRDefault="00C60F57">
      <w:pPr>
        <w:pStyle w:val="Inhopg1"/>
        <w:tabs>
          <w:tab w:val="right" w:leader="dot" w:pos="8290"/>
        </w:tabs>
        <w:rPr>
          <w:rFonts w:asciiTheme="minorHAnsi" w:eastAsiaTheme="minorEastAsia" w:hAnsiTheme="minorHAnsi" w:cstheme="minorBidi"/>
          <w:noProof/>
          <w:sz w:val="22"/>
          <w:szCs w:val="22"/>
          <w:lang w:val="nl-NL" w:eastAsia="nl-NL"/>
        </w:rPr>
      </w:pPr>
      <w:r>
        <w:rPr>
          <w:lang w:val="en-US"/>
        </w:rPr>
        <w:fldChar w:fldCharType="begin"/>
      </w:r>
      <w:r>
        <w:rPr>
          <w:lang w:val="en-US"/>
        </w:rPr>
        <w:instrText xml:space="preserve"> TOC \o "1-2" </w:instrText>
      </w:r>
      <w:r>
        <w:rPr>
          <w:lang w:val="en-US"/>
        </w:rPr>
        <w:fldChar w:fldCharType="separate"/>
      </w:r>
      <w:r w:rsidR="0051125E">
        <w:rPr>
          <w:noProof/>
        </w:rPr>
        <w:t>Colophon</w:t>
      </w:r>
      <w:r w:rsidR="0051125E">
        <w:rPr>
          <w:noProof/>
        </w:rPr>
        <w:tab/>
      </w:r>
      <w:r w:rsidR="0051125E">
        <w:rPr>
          <w:noProof/>
        </w:rPr>
        <w:fldChar w:fldCharType="begin"/>
      </w:r>
      <w:r w:rsidR="0051125E">
        <w:rPr>
          <w:noProof/>
        </w:rPr>
        <w:instrText xml:space="preserve"> PAGEREF _Toc389464909 \h </w:instrText>
      </w:r>
      <w:r w:rsidR="0051125E">
        <w:rPr>
          <w:noProof/>
        </w:rPr>
      </w:r>
      <w:r w:rsidR="0051125E">
        <w:rPr>
          <w:noProof/>
        </w:rPr>
        <w:fldChar w:fldCharType="separate"/>
      </w:r>
      <w:r w:rsidR="0051125E">
        <w:rPr>
          <w:noProof/>
        </w:rPr>
        <w:t>2</w:t>
      </w:r>
      <w:r w:rsidR="0051125E">
        <w:rPr>
          <w:noProof/>
        </w:rPr>
        <w:fldChar w:fldCharType="end"/>
      </w:r>
    </w:p>
    <w:p w14:paraId="7A1925B3" w14:textId="77777777" w:rsidR="0051125E" w:rsidRDefault="0051125E">
      <w:pPr>
        <w:pStyle w:val="Inhopg1"/>
        <w:tabs>
          <w:tab w:val="right" w:leader="dot" w:pos="8290"/>
        </w:tabs>
        <w:rPr>
          <w:rFonts w:asciiTheme="minorHAnsi" w:eastAsiaTheme="minorEastAsia" w:hAnsiTheme="minorHAnsi" w:cstheme="minorBidi"/>
          <w:noProof/>
          <w:sz w:val="22"/>
          <w:szCs w:val="22"/>
          <w:lang w:val="nl-NL" w:eastAsia="nl-NL"/>
        </w:rPr>
      </w:pPr>
      <w:r w:rsidRPr="00C869E3">
        <w:rPr>
          <w:noProof/>
          <w:lang w:val="en-US"/>
        </w:rPr>
        <w:t>Table of Contents</w:t>
      </w:r>
      <w:r>
        <w:rPr>
          <w:noProof/>
        </w:rPr>
        <w:tab/>
      </w:r>
      <w:r>
        <w:rPr>
          <w:noProof/>
        </w:rPr>
        <w:fldChar w:fldCharType="begin"/>
      </w:r>
      <w:r>
        <w:rPr>
          <w:noProof/>
        </w:rPr>
        <w:instrText xml:space="preserve"> PAGEREF _Toc389464910 \h </w:instrText>
      </w:r>
      <w:r>
        <w:rPr>
          <w:noProof/>
        </w:rPr>
      </w:r>
      <w:r>
        <w:rPr>
          <w:noProof/>
        </w:rPr>
        <w:fldChar w:fldCharType="separate"/>
      </w:r>
      <w:r>
        <w:rPr>
          <w:noProof/>
        </w:rPr>
        <w:t>2</w:t>
      </w:r>
      <w:r>
        <w:rPr>
          <w:noProof/>
        </w:rPr>
        <w:fldChar w:fldCharType="end"/>
      </w:r>
    </w:p>
    <w:p w14:paraId="31C83E16" w14:textId="77777777" w:rsidR="0051125E" w:rsidRDefault="0051125E">
      <w:pPr>
        <w:pStyle w:val="Inhopg1"/>
        <w:tabs>
          <w:tab w:val="right" w:leader="dot" w:pos="8290"/>
        </w:tabs>
        <w:rPr>
          <w:rFonts w:asciiTheme="minorHAnsi" w:eastAsiaTheme="minorEastAsia" w:hAnsiTheme="minorHAnsi" w:cstheme="minorBidi"/>
          <w:noProof/>
          <w:sz w:val="22"/>
          <w:szCs w:val="22"/>
          <w:lang w:val="nl-NL" w:eastAsia="nl-NL"/>
        </w:rPr>
      </w:pPr>
      <w:r>
        <w:rPr>
          <w:noProof/>
        </w:rPr>
        <w:t>Introduction</w:t>
      </w:r>
      <w:r>
        <w:rPr>
          <w:noProof/>
        </w:rPr>
        <w:tab/>
      </w:r>
      <w:r>
        <w:rPr>
          <w:noProof/>
        </w:rPr>
        <w:fldChar w:fldCharType="begin"/>
      </w:r>
      <w:r>
        <w:rPr>
          <w:noProof/>
        </w:rPr>
        <w:instrText xml:space="preserve"> PAGEREF _Toc389464911 \h </w:instrText>
      </w:r>
      <w:r>
        <w:rPr>
          <w:noProof/>
        </w:rPr>
      </w:r>
      <w:r>
        <w:rPr>
          <w:noProof/>
        </w:rPr>
        <w:fldChar w:fldCharType="separate"/>
      </w:r>
      <w:r>
        <w:rPr>
          <w:noProof/>
        </w:rPr>
        <w:t>3</w:t>
      </w:r>
      <w:r>
        <w:rPr>
          <w:noProof/>
        </w:rPr>
        <w:fldChar w:fldCharType="end"/>
      </w:r>
    </w:p>
    <w:p w14:paraId="6A02A7C8" w14:textId="77777777" w:rsidR="0051125E" w:rsidRDefault="0051125E">
      <w:pPr>
        <w:pStyle w:val="Inhopg2"/>
        <w:tabs>
          <w:tab w:val="right" w:leader="dot" w:pos="8290"/>
        </w:tabs>
        <w:rPr>
          <w:rFonts w:asciiTheme="minorHAnsi" w:eastAsiaTheme="minorEastAsia" w:hAnsiTheme="minorHAnsi" w:cstheme="minorBidi"/>
          <w:noProof/>
          <w:sz w:val="22"/>
          <w:szCs w:val="22"/>
          <w:lang w:val="nl-NL" w:eastAsia="nl-NL"/>
        </w:rPr>
      </w:pPr>
      <w:r>
        <w:rPr>
          <w:noProof/>
        </w:rPr>
        <w:t xml:space="preserve">The </w:t>
      </w:r>
      <w:r w:rsidRPr="00C869E3">
        <w:rPr>
          <w:i/>
          <w:noProof/>
        </w:rPr>
        <w:t>mascil</w:t>
      </w:r>
      <w:r>
        <w:rPr>
          <w:noProof/>
        </w:rPr>
        <w:t xml:space="preserve"> Framework</w:t>
      </w:r>
      <w:r>
        <w:rPr>
          <w:noProof/>
        </w:rPr>
        <w:tab/>
      </w:r>
      <w:r>
        <w:rPr>
          <w:noProof/>
        </w:rPr>
        <w:fldChar w:fldCharType="begin"/>
      </w:r>
      <w:r>
        <w:rPr>
          <w:noProof/>
        </w:rPr>
        <w:instrText xml:space="preserve"> PAGEREF _Toc389464912 \h </w:instrText>
      </w:r>
      <w:r>
        <w:rPr>
          <w:noProof/>
        </w:rPr>
      </w:r>
      <w:r>
        <w:rPr>
          <w:noProof/>
        </w:rPr>
        <w:fldChar w:fldCharType="separate"/>
      </w:r>
      <w:r>
        <w:rPr>
          <w:noProof/>
        </w:rPr>
        <w:t>3</w:t>
      </w:r>
      <w:r>
        <w:rPr>
          <w:noProof/>
        </w:rPr>
        <w:fldChar w:fldCharType="end"/>
      </w:r>
    </w:p>
    <w:p w14:paraId="02EBA30A" w14:textId="77777777" w:rsidR="0051125E" w:rsidRDefault="0051125E">
      <w:pPr>
        <w:pStyle w:val="Inhopg1"/>
        <w:tabs>
          <w:tab w:val="right" w:leader="dot" w:pos="8290"/>
        </w:tabs>
        <w:rPr>
          <w:rFonts w:asciiTheme="minorHAnsi" w:eastAsiaTheme="minorEastAsia" w:hAnsiTheme="minorHAnsi" w:cstheme="minorBidi"/>
          <w:noProof/>
          <w:sz w:val="22"/>
          <w:szCs w:val="22"/>
          <w:lang w:val="nl-NL" w:eastAsia="nl-NL"/>
        </w:rPr>
      </w:pPr>
      <w:r>
        <w:rPr>
          <w:noProof/>
        </w:rPr>
        <w:t>Guidelines for (re)designing IBST tasks connected to the World of Work</w:t>
      </w:r>
      <w:r>
        <w:rPr>
          <w:noProof/>
        </w:rPr>
        <w:tab/>
      </w:r>
      <w:r>
        <w:rPr>
          <w:noProof/>
        </w:rPr>
        <w:fldChar w:fldCharType="begin"/>
      </w:r>
      <w:r>
        <w:rPr>
          <w:noProof/>
        </w:rPr>
        <w:instrText xml:space="preserve"> PAGEREF _Toc389464913 \h </w:instrText>
      </w:r>
      <w:r>
        <w:rPr>
          <w:noProof/>
        </w:rPr>
      </w:r>
      <w:r>
        <w:rPr>
          <w:noProof/>
        </w:rPr>
        <w:fldChar w:fldCharType="separate"/>
      </w:r>
      <w:r>
        <w:rPr>
          <w:noProof/>
        </w:rPr>
        <w:t>6</w:t>
      </w:r>
      <w:r>
        <w:rPr>
          <w:noProof/>
        </w:rPr>
        <w:fldChar w:fldCharType="end"/>
      </w:r>
    </w:p>
    <w:p w14:paraId="24DA6205" w14:textId="77777777" w:rsidR="0051125E" w:rsidRDefault="0051125E">
      <w:pPr>
        <w:pStyle w:val="Inhopg2"/>
        <w:tabs>
          <w:tab w:val="right" w:leader="dot" w:pos="8290"/>
        </w:tabs>
        <w:rPr>
          <w:rFonts w:asciiTheme="minorHAnsi" w:eastAsiaTheme="minorEastAsia" w:hAnsiTheme="minorHAnsi" w:cstheme="minorBidi"/>
          <w:noProof/>
          <w:sz w:val="22"/>
          <w:szCs w:val="22"/>
          <w:lang w:val="nl-NL" w:eastAsia="nl-NL"/>
        </w:rPr>
      </w:pPr>
      <w:r>
        <w:rPr>
          <w:noProof/>
        </w:rPr>
        <w:t>Characteristics of tasks for IBST</w:t>
      </w:r>
      <w:r>
        <w:rPr>
          <w:noProof/>
        </w:rPr>
        <w:tab/>
      </w:r>
      <w:r>
        <w:rPr>
          <w:noProof/>
        </w:rPr>
        <w:fldChar w:fldCharType="begin"/>
      </w:r>
      <w:r>
        <w:rPr>
          <w:noProof/>
        </w:rPr>
        <w:instrText xml:space="preserve"> PAGEREF _Toc389464914 \h </w:instrText>
      </w:r>
      <w:r>
        <w:rPr>
          <w:noProof/>
        </w:rPr>
      </w:r>
      <w:r>
        <w:rPr>
          <w:noProof/>
        </w:rPr>
        <w:fldChar w:fldCharType="separate"/>
      </w:r>
      <w:r>
        <w:rPr>
          <w:noProof/>
        </w:rPr>
        <w:t>6</w:t>
      </w:r>
      <w:r>
        <w:rPr>
          <w:noProof/>
        </w:rPr>
        <w:fldChar w:fldCharType="end"/>
      </w:r>
    </w:p>
    <w:p w14:paraId="68EF13D0" w14:textId="77777777" w:rsidR="0051125E" w:rsidRDefault="0051125E">
      <w:pPr>
        <w:pStyle w:val="Inhopg2"/>
        <w:tabs>
          <w:tab w:val="right" w:leader="dot" w:pos="8290"/>
        </w:tabs>
        <w:rPr>
          <w:rFonts w:asciiTheme="minorHAnsi" w:eastAsiaTheme="minorEastAsia" w:hAnsiTheme="minorHAnsi" w:cstheme="minorBidi"/>
          <w:noProof/>
          <w:sz w:val="22"/>
          <w:szCs w:val="22"/>
          <w:lang w:val="nl-NL" w:eastAsia="nl-NL"/>
        </w:rPr>
      </w:pPr>
      <w:r>
        <w:rPr>
          <w:noProof/>
        </w:rPr>
        <w:t>Characteristics of tasks that connect to the World of Work</w:t>
      </w:r>
      <w:r>
        <w:rPr>
          <w:noProof/>
        </w:rPr>
        <w:tab/>
      </w:r>
      <w:r>
        <w:rPr>
          <w:noProof/>
        </w:rPr>
        <w:fldChar w:fldCharType="begin"/>
      </w:r>
      <w:r>
        <w:rPr>
          <w:noProof/>
        </w:rPr>
        <w:instrText xml:space="preserve"> PAGEREF _Toc389464915 \h </w:instrText>
      </w:r>
      <w:r>
        <w:rPr>
          <w:noProof/>
        </w:rPr>
      </w:r>
      <w:r>
        <w:rPr>
          <w:noProof/>
        </w:rPr>
        <w:fldChar w:fldCharType="separate"/>
      </w:r>
      <w:r>
        <w:rPr>
          <w:noProof/>
        </w:rPr>
        <w:t>8</w:t>
      </w:r>
      <w:r>
        <w:rPr>
          <w:noProof/>
        </w:rPr>
        <w:fldChar w:fldCharType="end"/>
      </w:r>
    </w:p>
    <w:p w14:paraId="36D7F3AC" w14:textId="77777777" w:rsidR="0051125E" w:rsidRDefault="0051125E">
      <w:pPr>
        <w:pStyle w:val="Inhopg2"/>
        <w:tabs>
          <w:tab w:val="right" w:leader="dot" w:pos="8290"/>
        </w:tabs>
        <w:rPr>
          <w:rFonts w:asciiTheme="minorHAnsi" w:eastAsiaTheme="minorEastAsia" w:hAnsiTheme="minorHAnsi" w:cstheme="minorBidi"/>
          <w:noProof/>
          <w:sz w:val="22"/>
          <w:szCs w:val="22"/>
          <w:lang w:val="nl-NL" w:eastAsia="nl-NL"/>
        </w:rPr>
      </w:pPr>
      <w:r>
        <w:rPr>
          <w:noProof/>
        </w:rPr>
        <w:t>Guidelines for redesigning</w:t>
      </w:r>
      <w:r>
        <w:rPr>
          <w:noProof/>
        </w:rPr>
        <w:tab/>
      </w:r>
      <w:r>
        <w:rPr>
          <w:noProof/>
        </w:rPr>
        <w:fldChar w:fldCharType="begin"/>
      </w:r>
      <w:r>
        <w:rPr>
          <w:noProof/>
        </w:rPr>
        <w:instrText xml:space="preserve"> PAGEREF _Toc389464916 \h </w:instrText>
      </w:r>
      <w:r>
        <w:rPr>
          <w:noProof/>
        </w:rPr>
      </w:r>
      <w:r>
        <w:rPr>
          <w:noProof/>
        </w:rPr>
        <w:fldChar w:fldCharType="separate"/>
      </w:r>
      <w:r>
        <w:rPr>
          <w:noProof/>
        </w:rPr>
        <w:t>11</w:t>
      </w:r>
      <w:r>
        <w:rPr>
          <w:noProof/>
        </w:rPr>
        <w:fldChar w:fldCharType="end"/>
      </w:r>
    </w:p>
    <w:p w14:paraId="15ABD08C" w14:textId="77777777" w:rsidR="0051125E" w:rsidRDefault="0051125E">
      <w:pPr>
        <w:pStyle w:val="Inhopg2"/>
        <w:tabs>
          <w:tab w:val="right" w:leader="dot" w:pos="8290"/>
        </w:tabs>
        <w:rPr>
          <w:rFonts w:asciiTheme="minorHAnsi" w:eastAsiaTheme="minorEastAsia" w:hAnsiTheme="minorHAnsi" w:cstheme="minorBidi"/>
          <w:noProof/>
          <w:sz w:val="22"/>
          <w:szCs w:val="22"/>
          <w:lang w:val="nl-NL" w:eastAsia="nl-NL"/>
        </w:rPr>
      </w:pPr>
      <w:r>
        <w:rPr>
          <w:noProof/>
        </w:rPr>
        <w:t>Examples</w:t>
      </w:r>
      <w:r>
        <w:rPr>
          <w:noProof/>
        </w:rPr>
        <w:tab/>
      </w:r>
      <w:r>
        <w:rPr>
          <w:noProof/>
        </w:rPr>
        <w:fldChar w:fldCharType="begin"/>
      </w:r>
      <w:r>
        <w:rPr>
          <w:noProof/>
        </w:rPr>
        <w:instrText xml:space="preserve"> PAGEREF _Toc389464917 \h </w:instrText>
      </w:r>
      <w:r>
        <w:rPr>
          <w:noProof/>
        </w:rPr>
      </w:r>
      <w:r>
        <w:rPr>
          <w:noProof/>
        </w:rPr>
        <w:fldChar w:fldCharType="separate"/>
      </w:r>
      <w:r>
        <w:rPr>
          <w:noProof/>
        </w:rPr>
        <w:t>12</w:t>
      </w:r>
      <w:r>
        <w:rPr>
          <w:noProof/>
        </w:rPr>
        <w:fldChar w:fldCharType="end"/>
      </w:r>
    </w:p>
    <w:p w14:paraId="7B6C5423" w14:textId="77777777" w:rsidR="0051125E" w:rsidRDefault="0051125E">
      <w:pPr>
        <w:pStyle w:val="Inhopg2"/>
        <w:tabs>
          <w:tab w:val="right" w:leader="dot" w:pos="8290"/>
        </w:tabs>
        <w:rPr>
          <w:rFonts w:asciiTheme="minorHAnsi" w:eastAsiaTheme="minorEastAsia" w:hAnsiTheme="minorHAnsi" w:cstheme="minorBidi"/>
          <w:noProof/>
          <w:sz w:val="22"/>
          <w:szCs w:val="22"/>
          <w:lang w:val="nl-NL" w:eastAsia="nl-NL"/>
        </w:rPr>
      </w:pPr>
      <w:r>
        <w:rPr>
          <w:noProof/>
        </w:rPr>
        <w:t>Format for designing materials</w:t>
      </w:r>
      <w:r>
        <w:rPr>
          <w:noProof/>
        </w:rPr>
        <w:tab/>
      </w:r>
      <w:r>
        <w:rPr>
          <w:noProof/>
        </w:rPr>
        <w:fldChar w:fldCharType="begin"/>
      </w:r>
      <w:r>
        <w:rPr>
          <w:noProof/>
        </w:rPr>
        <w:instrText xml:space="preserve"> PAGEREF _Toc389464918 \h </w:instrText>
      </w:r>
      <w:r>
        <w:rPr>
          <w:noProof/>
        </w:rPr>
      </w:r>
      <w:r>
        <w:rPr>
          <w:noProof/>
        </w:rPr>
        <w:fldChar w:fldCharType="separate"/>
      </w:r>
      <w:r>
        <w:rPr>
          <w:noProof/>
        </w:rPr>
        <w:t>17</w:t>
      </w:r>
      <w:r>
        <w:rPr>
          <w:noProof/>
        </w:rPr>
        <w:fldChar w:fldCharType="end"/>
      </w:r>
    </w:p>
    <w:p w14:paraId="05E4B549" w14:textId="77777777" w:rsidR="0051125E" w:rsidRDefault="0051125E">
      <w:pPr>
        <w:pStyle w:val="Inhopg1"/>
        <w:tabs>
          <w:tab w:val="right" w:leader="dot" w:pos="8290"/>
        </w:tabs>
        <w:rPr>
          <w:rFonts w:asciiTheme="minorHAnsi" w:eastAsiaTheme="minorEastAsia" w:hAnsiTheme="minorHAnsi" w:cstheme="minorBidi"/>
          <w:noProof/>
          <w:sz w:val="22"/>
          <w:szCs w:val="22"/>
          <w:lang w:val="nl-NL" w:eastAsia="nl-NL"/>
        </w:rPr>
      </w:pPr>
      <w:r>
        <w:rPr>
          <w:noProof/>
        </w:rPr>
        <w:t>Theoretical background</w:t>
      </w:r>
      <w:r>
        <w:rPr>
          <w:noProof/>
        </w:rPr>
        <w:tab/>
      </w:r>
      <w:r>
        <w:rPr>
          <w:noProof/>
        </w:rPr>
        <w:fldChar w:fldCharType="begin"/>
      </w:r>
      <w:r>
        <w:rPr>
          <w:noProof/>
        </w:rPr>
        <w:instrText xml:space="preserve"> PAGEREF _Toc389464919 \h </w:instrText>
      </w:r>
      <w:r>
        <w:rPr>
          <w:noProof/>
        </w:rPr>
      </w:r>
      <w:r>
        <w:rPr>
          <w:noProof/>
        </w:rPr>
        <w:fldChar w:fldCharType="separate"/>
      </w:r>
      <w:r>
        <w:rPr>
          <w:noProof/>
        </w:rPr>
        <w:t>18</w:t>
      </w:r>
      <w:r>
        <w:rPr>
          <w:noProof/>
        </w:rPr>
        <w:fldChar w:fldCharType="end"/>
      </w:r>
    </w:p>
    <w:p w14:paraId="320B5AA8" w14:textId="77777777" w:rsidR="0051125E" w:rsidRDefault="0051125E">
      <w:pPr>
        <w:pStyle w:val="Inhopg1"/>
        <w:tabs>
          <w:tab w:val="right" w:leader="dot" w:pos="8290"/>
        </w:tabs>
        <w:rPr>
          <w:rFonts w:asciiTheme="minorHAnsi" w:eastAsiaTheme="minorEastAsia" w:hAnsiTheme="minorHAnsi" w:cstheme="minorBidi"/>
          <w:noProof/>
          <w:sz w:val="22"/>
          <w:szCs w:val="22"/>
          <w:lang w:val="nl-NL" w:eastAsia="nl-NL"/>
        </w:rPr>
      </w:pPr>
      <w:r>
        <w:rPr>
          <w:noProof/>
        </w:rPr>
        <w:t>References</w:t>
      </w:r>
      <w:r>
        <w:rPr>
          <w:noProof/>
        </w:rPr>
        <w:tab/>
      </w:r>
      <w:r>
        <w:rPr>
          <w:noProof/>
        </w:rPr>
        <w:fldChar w:fldCharType="begin"/>
      </w:r>
      <w:r>
        <w:rPr>
          <w:noProof/>
        </w:rPr>
        <w:instrText xml:space="preserve"> PAGEREF _Toc389464920 \h </w:instrText>
      </w:r>
      <w:r>
        <w:rPr>
          <w:noProof/>
        </w:rPr>
      </w:r>
      <w:r>
        <w:rPr>
          <w:noProof/>
        </w:rPr>
        <w:fldChar w:fldCharType="separate"/>
      </w:r>
      <w:r>
        <w:rPr>
          <w:noProof/>
        </w:rPr>
        <w:t>19</w:t>
      </w:r>
      <w:r>
        <w:rPr>
          <w:noProof/>
        </w:rPr>
        <w:fldChar w:fldCharType="end"/>
      </w:r>
    </w:p>
    <w:p w14:paraId="4573A4B5" w14:textId="77777777" w:rsidR="00C60F57" w:rsidRDefault="00C60F57">
      <w:pPr>
        <w:rPr>
          <w:lang w:val="en-US"/>
        </w:rPr>
      </w:pPr>
      <w:r>
        <w:rPr>
          <w:lang w:val="en-US"/>
        </w:rPr>
        <w:fldChar w:fldCharType="end"/>
      </w:r>
    </w:p>
    <w:p w14:paraId="2876768E" w14:textId="77777777" w:rsidR="00B1683E" w:rsidRDefault="00B1683E"/>
    <w:p w14:paraId="1505FAED" w14:textId="77777777" w:rsidR="00B1683E" w:rsidRDefault="00B1683E"/>
    <w:p w14:paraId="63AEE845" w14:textId="77777777" w:rsidR="00B1683E" w:rsidRDefault="00B1683E"/>
    <w:p w14:paraId="2B3F94BD" w14:textId="77777777" w:rsidR="00C60F57" w:rsidRDefault="00C60F57">
      <w:pPr>
        <w:rPr>
          <w:rFonts w:ascii="Calibri" w:eastAsia="MS Gothic" w:hAnsi="Calibri"/>
          <w:b/>
          <w:bCs/>
          <w:color w:val="345A8A"/>
          <w:sz w:val="36"/>
          <w:szCs w:val="32"/>
        </w:rPr>
      </w:pPr>
      <w:r>
        <w:br w:type="page"/>
      </w:r>
    </w:p>
    <w:p w14:paraId="4139D7A0" w14:textId="306CCA5F" w:rsidR="00C60F57" w:rsidRDefault="00FC6108">
      <w:pPr>
        <w:pStyle w:val="Kop1"/>
      </w:pPr>
      <w:bookmarkStart w:id="3" w:name="_Toc389464911"/>
      <w:r>
        <w:lastRenderedPageBreak/>
        <w:t>Introduction</w:t>
      </w:r>
      <w:bookmarkEnd w:id="3"/>
    </w:p>
    <w:p w14:paraId="23115370" w14:textId="3C1272DF" w:rsidR="009B0B7D" w:rsidRDefault="009B0B7D" w:rsidP="00057BE4">
      <w:pPr>
        <w:rPr>
          <w:rFonts w:cs="Calibri"/>
        </w:rPr>
      </w:pPr>
      <w:r w:rsidRPr="00057BE4">
        <w:rPr>
          <w:rFonts w:cs="Calibri"/>
        </w:rPr>
        <w:t xml:space="preserve">In this document we describe guidelines for teachers and teacher trainers </w:t>
      </w:r>
      <w:r w:rsidRPr="00057BE4">
        <w:rPr>
          <w:rFonts w:cs="Calibri"/>
          <w:lang w:val="en-US"/>
        </w:rPr>
        <w:t xml:space="preserve">for (re)designing IBST-oriented classroom materials using </w:t>
      </w:r>
      <w:r w:rsidR="007E744D">
        <w:rPr>
          <w:rFonts w:cs="Calibri"/>
          <w:lang w:val="en-US"/>
        </w:rPr>
        <w:t xml:space="preserve">rich, vocational </w:t>
      </w:r>
      <w:r w:rsidRPr="00057BE4">
        <w:rPr>
          <w:rFonts w:cs="Calibri"/>
          <w:lang w:val="en-US"/>
        </w:rPr>
        <w:t>workplace contexts</w:t>
      </w:r>
      <w:r w:rsidRPr="00057BE4">
        <w:rPr>
          <w:rFonts w:cs="Calibri"/>
        </w:rPr>
        <w:t xml:space="preserve">. This document </w:t>
      </w:r>
      <w:r>
        <w:rPr>
          <w:rFonts w:cs="Calibri"/>
        </w:rPr>
        <w:t>is supposed to help</w:t>
      </w:r>
      <w:r w:rsidRPr="00057BE4">
        <w:rPr>
          <w:rFonts w:cs="Calibri"/>
        </w:rPr>
        <w:t xml:space="preserve"> teachers and teacher trainers to understand why </w:t>
      </w:r>
      <w:r>
        <w:rPr>
          <w:rFonts w:cs="Calibri"/>
        </w:rPr>
        <w:t xml:space="preserve">and how </w:t>
      </w:r>
      <w:r w:rsidR="00FE4F96" w:rsidRPr="00FE4F96">
        <w:rPr>
          <w:rFonts w:cs="Calibri"/>
          <w:i/>
        </w:rPr>
        <w:t>mascil</w:t>
      </w:r>
      <w:r w:rsidRPr="00057BE4">
        <w:rPr>
          <w:rFonts w:cs="Calibri"/>
        </w:rPr>
        <w:t xml:space="preserve"> tasks support IBL </w:t>
      </w:r>
      <w:r>
        <w:rPr>
          <w:rFonts w:cs="Calibri"/>
        </w:rPr>
        <w:t xml:space="preserve">and how they </w:t>
      </w:r>
      <w:r w:rsidRPr="00057BE4">
        <w:rPr>
          <w:rFonts w:cs="Calibri"/>
        </w:rPr>
        <w:t>connect to</w:t>
      </w:r>
      <w:r w:rsidR="00CD0E46">
        <w:rPr>
          <w:rFonts w:cs="Calibri"/>
        </w:rPr>
        <w:t xml:space="preserve"> workplace contexts</w:t>
      </w:r>
      <w:r w:rsidRPr="00057BE4">
        <w:rPr>
          <w:rFonts w:cs="Calibri"/>
        </w:rPr>
        <w:t xml:space="preserve"> </w:t>
      </w:r>
      <w:r w:rsidR="00CD0E46">
        <w:rPr>
          <w:rFonts w:cs="Calibri"/>
        </w:rPr>
        <w:t>(</w:t>
      </w:r>
      <w:r w:rsidRPr="00057BE4">
        <w:rPr>
          <w:rFonts w:cs="Calibri"/>
        </w:rPr>
        <w:t xml:space="preserve">the </w:t>
      </w:r>
      <w:r w:rsidR="0094788C">
        <w:rPr>
          <w:rFonts w:cs="Calibri"/>
        </w:rPr>
        <w:t>W</w:t>
      </w:r>
      <w:r w:rsidR="00FE4F96">
        <w:rPr>
          <w:rFonts w:cs="Calibri"/>
        </w:rPr>
        <w:t xml:space="preserve">orld of </w:t>
      </w:r>
      <w:r w:rsidR="0094788C">
        <w:rPr>
          <w:rFonts w:cs="Calibri"/>
        </w:rPr>
        <w:t>W</w:t>
      </w:r>
      <w:r w:rsidR="00FE4F96">
        <w:rPr>
          <w:rFonts w:cs="Calibri"/>
        </w:rPr>
        <w:t>ork</w:t>
      </w:r>
      <w:r w:rsidR="00CD0E46">
        <w:rPr>
          <w:rFonts w:cs="Calibri"/>
        </w:rPr>
        <w:t xml:space="preserve">, </w:t>
      </w:r>
      <w:r w:rsidRPr="00057BE4">
        <w:rPr>
          <w:rFonts w:cs="Calibri"/>
        </w:rPr>
        <w:t>WoW</w:t>
      </w:r>
      <w:r w:rsidR="00FE4F96">
        <w:rPr>
          <w:rFonts w:cs="Calibri"/>
        </w:rPr>
        <w:t>)</w:t>
      </w:r>
      <w:r w:rsidRPr="00057BE4">
        <w:rPr>
          <w:rFonts w:cs="Calibri"/>
        </w:rPr>
        <w:t xml:space="preserve">. In addition, it shows how </w:t>
      </w:r>
      <w:r w:rsidR="00FE4F96">
        <w:rPr>
          <w:rFonts w:cs="Calibri"/>
        </w:rPr>
        <w:t>teachers</w:t>
      </w:r>
      <w:r w:rsidR="00FE4F96" w:rsidRPr="00057BE4">
        <w:rPr>
          <w:rFonts w:cs="Calibri"/>
        </w:rPr>
        <w:t xml:space="preserve"> </w:t>
      </w:r>
      <w:r w:rsidRPr="00057BE4">
        <w:rPr>
          <w:rFonts w:cs="Calibri"/>
        </w:rPr>
        <w:t xml:space="preserve">can select and adapt </w:t>
      </w:r>
      <w:r w:rsidR="00FE4F96" w:rsidRPr="00FE4F96">
        <w:rPr>
          <w:rFonts w:cs="Calibri"/>
          <w:i/>
        </w:rPr>
        <w:t>mascil</w:t>
      </w:r>
      <w:r w:rsidRPr="00057BE4">
        <w:rPr>
          <w:rFonts w:cs="Calibri"/>
        </w:rPr>
        <w:t xml:space="preserve"> tasks or other tasks (textbook, projects, etc.) to their needs and those of their students for </w:t>
      </w:r>
      <w:r>
        <w:rPr>
          <w:rFonts w:cs="Calibri"/>
        </w:rPr>
        <w:t>promoting</w:t>
      </w:r>
      <w:r w:rsidRPr="00057BE4">
        <w:rPr>
          <w:rFonts w:cs="Calibri"/>
        </w:rPr>
        <w:t xml:space="preserve"> IBL and </w:t>
      </w:r>
      <w:r>
        <w:rPr>
          <w:rFonts w:cs="Calibri"/>
        </w:rPr>
        <w:t>connecting to</w:t>
      </w:r>
      <w:r w:rsidRPr="00057BE4">
        <w:rPr>
          <w:rFonts w:cs="Calibri"/>
        </w:rPr>
        <w:t xml:space="preserve"> WoW contexts</w:t>
      </w:r>
      <w:r>
        <w:rPr>
          <w:rFonts w:cs="Calibri"/>
        </w:rPr>
        <w:t>.</w:t>
      </w:r>
    </w:p>
    <w:p w14:paraId="5E321A12" w14:textId="1A4E8D4A" w:rsidR="00EF2843" w:rsidRDefault="00FE4F96" w:rsidP="00EF2843">
      <w:pPr>
        <w:rPr>
          <w:rFonts w:cs="Calibri"/>
        </w:rPr>
      </w:pPr>
      <w:r w:rsidRPr="0094788C">
        <w:rPr>
          <w:i/>
        </w:rPr>
        <w:t>Mascil</w:t>
      </w:r>
      <w:r w:rsidR="00C60F57">
        <w:t xml:space="preserve"> aims to promote a widespread use of inquiry-based science teaching (IBST) in primary and secondary schools. The major innovation of </w:t>
      </w:r>
      <w:r w:rsidR="00A4531D">
        <w:rPr>
          <w:i/>
        </w:rPr>
        <w:t>m</w:t>
      </w:r>
      <w:r w:rsidRPr="0094788C">
        <w:rPr>
          <w:i/>
        </w:rPr>
        <w:t>ascil</w:t>
      </w:r>
      <w:r w:rsidR="00C60F57">
        <w:t xml:space="preserve"> is to connect IBST in school with the </w:t>
      </w:r>
      <w:r w:rsidR="0094788C">
        <w:t xml:space="preserve">World </w:t>
      </w:r>
      <w:r w:rsidR="00C60F57">
        <w:t xml:space="preserve">of </w:t>
      </w:r>
      <w:r w:rsidR="0094788C">
        <w:t>Work</w:t>
      </w:r>
      <w:r w:rsidR="00AB7FE7">
        <w:t>,</w:t>
      </w:r>
      <w:r w:rsidR="0094788C">
        <w:t xml:space="preserve"> </w:t>
      </w:r>
      <w:r w:rsidR="00C60F57">
        <w:t xml:space="preserve">making science more meaningful for young European students and motivating their interest in careers in </w:t>
      </w:r>
      <w:r w:rsidR="00290A9B">
        <w:t>science and technology</w:t>
      </w:r>
      <w:r w:rsidR="00C60F57">
        <w:t xml:space="preserve">. </w:t>
      </w:r>
      <w:r w:rsidR="00290A9B" w:rsidRPr="00290A9B">
        <w:rPr>
          <w:rFonts w:asciiTheme="majorHAnsi" w:hAnsiTheme="majorHAnsi"/>
        </w:rPr>
        <w:t>To achieve these aims</w:t>
      </w:r>
      <w:r w:rsidR="00AB7FE7">
        <w:rPr>
          <w:rFonts w:asciiTheme="majorHAnsi" w:hAnsiTheme="majorHAnsi"/>
        </w:rPr>
        <w:t>,</w:t>
      </w:r>
      <w:r w:rsidR="00290A9B" w:rsidRPr="00290A9B">
        <w:rPr>
          <w:rFonts w:asciiTheme="majorHAnsi" w:hAnsiTheme="majorHAnsi"/>
        </w:rPr>
        <w:t xml:space="preserve"> </w:t>
      </w:r>
      <w:r w:rsidRPr="0094788C">
        <w:rPr>
          <w:rFonts w:asciiTheme="majorHAnsi" w:hAnsiTheme="majorHAnsi"/>
          <w:i/>
        </w:rPr>
        <w:t>mascil</w:t>
      </w:r>
      <w:r w:rsidR="00290A9B" w:rsidRPr="00290A9B">
        <w:rPr>
          <w:rFonts w:asciiTheme="majorHAnsi" w:hAnsiTheme="majorHAnsi" w:cs="139E9f04ArialUnicodeMS"/>
          <w:lang w:val="en-US"/>
        </w:rPr>
        <w:t xml:space="preserve"> </w:t>
      </w:r>
      <w:r w:rsidR="00AB7FE7" w:rsidRPr="00290A9B">
        <w:rPr>
          <w:rFonts w:asciiTheme="majorHAnsi" w:hAnsiTheme="majorHAnsi" w:cs="139E9f04ArialUnicodeMS"/>
          <w:lang w:val="en-US"/>
        </w:rPr>
        <w:t>collect</w:t>
      </w:r>
      <w:r w:rsidR="00AB7FE7">
        <w:rPr>
          <w:rFonts w:asciiTheme="majorHAnsi" w:hAnsiTheme="majorHAnsi" w:cs="139E9f04ArialUnicodeMS"/>
          <w:lang w:val="en-US"/>
        </w:rPr>
        <w:t>s</w:t>
      </w:r>
      <w:r w:rsidR="00AB7FE7" w:rsidRPr="00290A9B">
        <w:rPr>
          <w:rFonts w:asciiTheme="majorHAnsi" w:hAnsiTheme="majorHAnsi" w:cs="139E9f04ArialUnicodeMS"/>
          <w:lang w:val="en-US"/>
        </w:rPr>
        <w:t xml:space="preserve"> </w:t>
      </w:r>
      <w:r w:rsidR="00057BE4">
        <w:rPr>
          <w:rFonts w:asciiTheme="majorHAnsi" w:hAnsiTheme="majorHAnsi" w:cs="139E9f04ArialUnicodeMS"/>
          <w:lang w:val="en-US"/>
        </w:rPr>
        <w:t xml:space="preserve">and </w:t>
      </w:r>
      <w:r w:rsidR="00AB7FE7">
        <w:rPr>
          <w:rFonts w:asciiTheme="majorHAnsi" w:hAnsiTheme="majorHAnsi" w:cs="139E9f04ArialUnicodeMS"/>
          <w:lang w:val="en-US"/>
        </w:rPr>
        <w:t xml:space="preserve">publishes </w:t>
      </w:r>
      <w:r w:rsidR="00C60F57" w:rsidRPr="00290A9B">
        <w:rPr>
          <w:rFonts w:asciiTheme="majorHAnsi" w:hAnsiTheme="majorHAnsi" w:cs="139E9f04ArialUnicodeMS"/>
          <w:lang w:val="en-US"/>
        </w:rPr>
        <w:t>examples of classroom materials for inquiry in rich vocational contexts</w:t>
      </w:r>
      <w:r w:rsidR="00057BE4">
        <w:t xml:space="preserve"> in close collaboration with all </w:t>
      </w:r>
      <w:r w:rsidRPr="0094788C">
        <w:rPr>
          <w:i/>
        </w:rPr>
        <w:t>mascil</w:t>
      </w:r>
      <w:r>
        <w:t xml:space="preserve"> </w:t>
      </w:r>
      <w:r w:rsidR="00057BE4">
        <w:t>partners</w:t>
      </w:r>
      <w:r w:rsidR="00057BE4" w:rsidRPr="00290A9B">
        <w:rPr>
          <w:rFonts w:asciiTheme="majorHAnsi" w:hAnsiTheme="majorHAnsi" w:cs="139E9f04ArialUnicodeMS"/>
          <w:lang w:val="en-US"/>
        </w:rPr>
        <w:t xml:space="preserve"> </w:t>
      </w:r>
      <w:r w:rsidR="00057BE4">
        <w:t xml:space="preserve">(see: </w:t>
      </w:r>
      <w:hyperlink r:id="rId10" w:history="1">
        <w:r w:rsidR="00057BE4" w:rsidRPr="00E44AC5">
          <w:rPr>
            <w:rStyle w:val="Hyperlink"/>
          </w:rPr>
          <w:t>www.mascil-project.eu</w:t>
        </w:r>
      </w:hyperlink>
      <w:r w:rsidR="00057BE4">
        <w:t xml:space="preserve">). </w:t>
      </w:r>
    </w:p>
    <w:p w14:paraId="14ABC4C1" w14:textId="117E0243" w:rsidR="00C60F57" w:rsidRDefault="00B16A7D" w:rsidP="00B16A7D">
      <w:pPr>
        <w:pStyle w:val="Kop2"/>
      </w:pPr>
      <w:bookmarkStart w:id="4" w:name="_Toc389464912"/>
      <w:r>
        <w:t xml:space="preserve">The </w:t>
      </w:r>
      <w:r w:rsidRPr="00B16A7D">
        <w:rPr>
          <w:i/>
        </w:rPr>
        <w:t>mascil</w:t>
      </w:r>
      <w:r>
        <w:t xml:space="preserve"> </w:t>
      </w:r>
      <w:r w:rsidR="00C60F57">
        <w:t>Framework</w:t>
      </w:r>
      <w:bookmarkEnd w:id="4"/>
    </w:p>
    <w:p w14:paraId="1CA7E460" w14:textId="33F77719" w:rsidR="00C60F57" w:rsidRDefault="003D286B">
      <w:r w:rsidRPr="003D286B">
        <w:t xml:space="preserve">Inquiry based learning (IBL) aims to develop and foster inquiring minds and attitudes that are vital </w:t>
      </w:r>
      <w:r w:rsidR="00AB7FE7">
        <w:t>in enabling</w:t>
      </w:r>
      <w:r w:rsidRPr="003D286B">
        <w:t xml:space="preserve"> students to face and manage uncertain </w:t>
      </w:r>
      <w:r>
        <w:t xml:space="preserve">and quickly changing </w:t>
      </w:r>
      <w:r w:rsidRPr="003D286B">
        <w:t xml:space="preserve">futures. Fundamentally, IBL is based on students adopting an active, questioning approach. This approach is central to the </w:t>
      </w:r>
      <w:r w:rsidR="00926771" w:rsidRPr="0094788C">
        <w:rPr>
          <w:rFonts w:asciiTheme="majorHAnsi" w:hAnsiTheme="majorHAnsi"/>
          <w:i/>
        </w:rPr>
        <w:t>mascil</w:t>
      </w:r>
      <w:r w:rsidR="00926771" w:rsidRPr="00290A9B">
        <w:rPr>
          <w:rFonts w:asciiTheme="majorHAnsi" w:hAnsiTheme="majorHAnsi" w:cs="139E9f04ArialUnicodeMS"/>
          <w:lang w:val="en-US"/>
        </w:rPr>
        <w:t xml:space="preserve"> </w:t>
      </w:r>
      <w:r w:rsidRPr="003D286B">
        <w:t xml:space="preserve">project. In the </w:t>
      </w:r>
      <w:r w:rsidR="00926771" w:rsidRPr="0094788C">
        <w:rPr>
          <w:rFonts w:asciiTheme="majorHAnsi" w:hAnsiTheme="majorHAnsi"/>
          <w:i/>
        </w:rPr>
        <w:t>mascil</w:t>
      </w:r>
      <w:r w:rsidR="00926771" w:rsidRPr="00290A9B">
        <w:rPr>
          <w:rFonts w:asciiTheme="majorHAnsi" w:hAnsiTheme="majorHAnsi" w:cs="139E9f04ArialUnicodeMS"/>
          <w:lang w:val="en-US"/>
        </w:rPr>
        <w:t xml:space="preserve"> </w:t>
      </w:r>
      <w:r w:rsidRPr="003D286B">
        <w:t xml:space="preserve">Diagram </w:t>
      </w:r>
      <w:r>
        <w:t xml:space="preserve">we </w:t>
      </w:r>
      <w:r w:rsidR="00B16A7D">
        <w:t xml:space="preserve">summarize </w:t>
      </w:r>
      <w:r>
        <w:t xml:space="preserve">the </w:t>
      </w:r>
      <w:r w:rsidR="00B16A7D">
        <w:t xml:space="preserve">aspects of IBL and the </w:t>
      </w:r>
      <w:r>
        <w:t xml:space="preserve">connections to </w:t>
      </w:r>
      <w:r w:rsidR="00B16A7D">
        <w:t>World of Work</w:t>
      </w:r>
      <w:r w:rsidR="00E40CD5">
        <w:t xml:space="preserve"> </w:t>
      </w:r>
      <w:r>
        <w:t>that constitute</w:t>
      </w:r>
      <w:r w:rsidR="00E40CD5">
        <w:t xml:space="preserve"> </w:t>
      </w:r>
      <w:r>
        <w:t xml:space="preserve">our </w:t>
      </w:r>
      <w:r w:rsidR="00E40CD5">
        <w:t xml:space="preserve">framework </w:t>
      </w:r>
      <w:r>
        <w:t xml:space="preserve">for (re)designing classroom tasks </w:t>
      </w:r>
      <w:r w:rsidR="00E40CD5">
        <w:t>(Figure 1).</w:t>
      </w:r>
    </w:p>
    <w:p w14:paraId="6F037593" w14:textId="77777777" w:rsidR="003D286B" w:rsidRDefault="003D286B"/>
    <w:tbl>
      <w:tblPr>
        <w:tblW w:w="0" w:type="auto"/>
        <w:jc w:val="center"/>
        <w:tblLook w:val="00A0" w:firstRow="1" w:lastRow="0" w:firstColumn="1" w:lastColumn="0" w:noHBand="0" w:noVBand="0"/>
      </w:tblPr>
      <w:tblGrid>
        <w:gridCol w:w="8516"/>
      </w:tblGrid>
      <w:tr w:rsidR="00C60F57" w14:paraId="0B15D0F2" w14:textId="77777777">
        <w:trPr>
          <w:trHeight w:val="4156"/>
          <w:jc w:val="center"/>
        </w:trPr>
        <w:tc>
          <w:tcPr>
            <w:tcW w:w="6563" w:type="dxa"/>
          </w:tcPr>
          <w:p w14:paraId="6FF0FC8E" w14:textId="347E28F1" w:rsidR="00C60F57" w:rsidRDefault="008B7931">
            <w:pPr>
              <w:jc w:val="center"/>
            </w:pPr>
            <w:r>
              <w:rPr>
                <w:noProof/>
                <w:lang w:val="en-US" w:eastAsia="nl-NL"/>
              </w:rPr>
              <w:drawing>
                <wp:inline distT="0" distB="0" distL="0" distR="0" wp14:anchorId="66F564B7" wp14:editId="3DCB5072">
                  <wp:extent cx="5270500" cy="3692525"/>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4 om 06.10.46.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692525"/>
                          </a:xfrm>
                          <a:prstGeom prst="rect">
                            <a:avLst/>
                          </a:prstGeom>
                        </pic:spPr>
                      </pic:pic>
                    </a:graphicData>
                  </a:graphic>
                </wp:inline>
              </w:drawing>
            </w:r>
          </w:p>
        </w:tc>
      </w:tr>
    </w:tbl>
    <w:p w14:paraId="5EFD830B" w14:textId="70949C4C" w:rsidR="00C60F57" w:rsidRDefault="00C60F57">
      <w:r>
        <w:t xml:space="preserve">Figure 1: </w:t>
      </w:r>
      <w:r w:rsidR="00E40CD5">
        <w:t xml:space="preserve">The </w:t>
      </w:r>
      <w:r w:rsidR="00E40CD5" w:rsidRPr="00E40CD5">
        <w:rPr>
          <w:i/>
        </w:rPr>
        <w:t>mascil</w:t>
      </w:r>
      <w:r w:rsidR="00113F5F">
        <w:t xml:space="preserve"> </w:t>
      </w:r>
      <w:r w:rsidR="00E40CD5">
        <w:t>Framework</w:t>
      </w:r>
    </w:p>
    <w:p w14:paraId="3E992080" w14:textId="77777777" w:rsidR="00C60F57" w:rsidRDefault="00C60F57"/>
    <w:p w14:paraId="4548239D" w14:textId="65409009" w:rsidR="007E744D" w:rsidRDefault="007E744D">
      <w:r>
        <w:lastRenderedPageBreak/>
        <w:t xml:space="preserve">Some of the characteristics in this framework apply to </w:t>
      </w:r>
      <w:r w:rsidR="003D286B">
        <w:t>values and goals of</w:t>
      </w:r>
      <w:r>
        <w:t xml:space="preserve"> teaching and learning </w:t>
      </w:r>
      <w:r w:rsidR="003D286B">
        <w:t>processes</w:t>
      </w:r>
      <w:r w:rsidR="005E2D40">
        <w:t xml:space="preserve"> in science and mathematics education. The</w:t>
      </w:r>
      <w:r w:rsidR="003D286B">
        <w:t xml:space="preserve"> </w:t>
      </w:r>
      <w:r w:rsidR="00AD76FC">
        <w:t>‘</w:t>
      </w:r>
      <w:r w:rsidR="005E2D40">
        <w:t>IBL</w:t>
      </w:r>
      <w:r>
        <w:t xml:space="preserve"> </w:t>
      </w:r>
      <w:r w:rsidR="005E2D40">
        <w:t>tasks</w:t>
      </w:r>
      <w:r w:rsidR="00AD76FC">
        <w:t>’</w:t>
      </w:r>
      <w:r w:rsidR="005E2D40">
        <w:t xml:space="preserve"> and the </w:t>
      </w:r>
      <w:r w:rsidR="00AD76FC">
        <w:t>‘</w:t>
      </w:r>
      <w:r w:rsidR="005E2D40">
        <w:t>World of Work</w:t>
      </w:r>
      <w:r w:rsidR="00AD76FC">
        <w:t>’</w:t>
      </w:r>
      <w:r w:rsidR="005E2D40">
        <w:t xml:space="preserve"> characteristics </w:t>
      </w:r>
      <w:r>
        <w:t>apply directly to the tasks (materials) used in class</w:t>
      </w:r>
      <w:r w:rsidR="005E2D40">
        <w:t>rooms</w:t>
      </w:r>
      <w:r>
        <w:t xml:space="preserve">. </w:t>
      </w:r>
      <w:r w:rsidR="002166E4">
        <w:t>These will be discussed in this document.</w:t>
      </w:r>
    </w:p>
    <w:p w14:paraId="58450C7E" w14:textId="77777777" w:rsidR="005E2D40" w:rsidRDefault="005E2D40"/>
    <w:p w14:paraId="12D732C5" w14:textId="270B80FB" w:rsidR="0000450E" w:rsidRDefault="005E2D40" w:rsidP="00BD7B98">
      <w:r>
        <w:t xml:space="preserve">In the cloud </w:t>
      </w:r>
      <w:r w:rsidR="00AD76FC">
        <w:t>‘</w:t>
      </w:r>
      <w:r>
        <w:t>IBL tasks</w:t>
      </w:r>
      <w:r w:rsidR="00AD76FC">
        <w:t>’</w:t>
      </w:r>
      <w:r>
        <w:t xml:space="preserve"> </w:t>
      </w:r>
      <w:r w:rsidR="00BD7B98">
        <w:t>we distinguish four criteria for tasks that support inquiry-based learning</w:t>
      </w:r>
      <w:r w:rsidR="007713A7" w:rsidRPr="002166E4">
        <w:rPr>
          <w:vertAlign w:val="superscript"/>
        </w:rPr>
        <w:t>1</w:t>
      </w:r>
      <w:r w:rsidR="00BD7B98">
        <w:t xml:space="preserve">. </w:t>
      </w:r>
      <w:r w:rsidR="002B062D">
        <w:t>When students learn by inquiry they e</w:t>
      </w:r>
      <w:r w:rsidR="00BD7B98">
        <w:t>xplor</w:t>
      </w:r>
      <w:r w:rsidR="002B062D">
        <w:t>e</w:t>
      </w:r>
      <w:r w:rsidR="00BD7B98">
        <w:t xml:space="preserve"> situations, </w:t>
      </w:r>
      <w:r w:rsidR="002B062D">
        <w:t>pose questions, p</w:t>
      </w:r>
      <w:r w:rsidR="00BD7B98">
        <w:t xml:space="preserve">lan </w:t>
      </w:r>
      <w:r w:rsidR="002B062D">
        <w:t>i</w:t>
      </w:r>
      <w:r w:rsidR="00BD7B98">
        <w:t xml:space="preserve">nvestigations, </w:t>
      </w:r>
      <w:r w:rsidR="002B062D">
        <w:t>e</w:t>
      </w:r>
      <w:r w:rsidR="00BD7B98">
        <w:t xml:space="preserve">xperiment systematically, </w:t>
      </w:r>
      <w:r w:rsidR="002B062D">
        <w:t>i</w:t>
      </w:r>
      <w:r w:rsidR="00BD7B98">
        <w:t>nterpret and evaluat</w:t>
      </w:r>
      <w:r w:rsidR="002B062D">
        <w:t>e</w:t>
      </w:r>
      <w:r w:rsidR="00BD7B98">
        <w:t>,</w:t>
      </w:r>
      <w:r w:rsidR="002B062D">
        <w:t xml:space="preserve"> and</w:t>
      </w:r>
      <w:r w:rsidR="00BD7B98">
        <w:t xml:space="preserve"> </w:t>
      </w:r>
      <w:r w:rsidR="002B062D">
        <w:t>collaborate and c</w:t>
      </w:r>
      <w:r w:rsidR="00BD7B98">
        <w:t>ommunicat</w:t>
      </w:r>
      <w:r w:rsidR="002B062D">
        <w:t>e results. These processes are supported by tasks that are</w:t>
      </w:r>
      <w:r w:rsidR="00BD7B98">
        <w:t xml:space="preserve"> cast in </w:t>
      </w:r>
      <w:r w:rsidR="002B062D">
        <w:t xml:space="preserve">– for students – </w:t>
      </w:r>
      <w:r w:rsidR="002B062D" w:rsidRPr="002166E4">
        <w:rPr>
          <w:b/>
        </w:rPr>
        <w:t>meaningful</w:t>
      </w:r>
      <w:r w:rsidR="00BD7B98" w:rsidRPr="002166E4">
        <w:rPr>
          <w:b/>
        </w:rPr>
        <w:t xml:space="preserve"> situation</w:t>
      </w:r>
      <w:r w:rsidR="002B062D" w:rsidRPr="002166E4">
        <w:rPr>
          <w:b/>
        </w:rPr>
        <w:t>s</w:t>
      </w:r>
      <w:r w:rsidR="002B062D">
        <w:t>.</w:t>
      </w:r>
      <w:r w:rsidR="00BD7B98">
        <w:t xml:space="preserve"> </w:t>
      </w:r>
      <w:r w:rsidR="007713A7">
        <w:t xml:space="preserve">It might even be the case that such a situation is presented to students without mentioning the main problem that needs to be solved. </w:t>
      </w:r>
      <w:r w:rsidR="0000450E">
        <w:t>This meaningfulness allows them to question the situation and to think of ways to tackle possible problems without using standard solution procedures.</w:t>
      </w:r>
    </w:p>
    <w:p w14:paraId="1D8D32EF" w14:textId="7F5FE423" w:rsidR="007713A7" w:rsidRDefault="0000450E" w:rsidP="00BD7B98">
      <w:r>
        <w:t>W</w:t>
      </w:r>
      <w:r w:rsidR="002B062D">
        <w:t>hen students connect the task to a standard solution procedure, the</w:t>
      </w:r>
      <w:r>
        <w:t>ir</w:t>
      </w:r>
      <w:r w:rsidR="002B062D">
        <w:t xml:space="preserve"> processes of inquiry will be limited. Consequently, the task should have the potential to evoke </w:t>
      </w:r>
      <w:r w:rsidR="002B062D" w:rsidRPr="002166E4">
        <w:rPr>
          <w:b/>
        </w:rPr>
        <w:t>multiple solution strategies</w:t>
      </w:r>
      <w:r w:rsidR="002B062D">
        <w:t xml:space="preserve">. </w:t>
      </w:r>
      <w:r>
        <w:t>T</w:t>
      </w:r>
      <w:r w:rsidR="002B062D">
        <w:t xml:space="preserve">his </w:t>
      </w:r>
      <w:r>
        <w:t>is a</w:t>
      </w:r>
      <w:r w:rsidR="002B062D">
        <w:t xml:space="preserve"> characteristic </w:t>
      </w:r>
      <w:r>
        <w:t xml:space="preserve">of tasks that </w:t>
      </w:r>
      <w:r w:rsidR="002B062D">
        <w:t xml:space="preserve">is </w:t>
      </w:r>
      <w:r>
        <w:t xml:space="preserve">highly </w:t>
      </w:r>
      <w:r w:rsidR="002B062D">
        <w:t xml:space="preserve">dependent </w:t>
      </w:r>
      <w:r w:rsidR="00AD76FC">
        <w:t>on</w:t>
      </w:r>
      <w:r w:rsidR="002B062D">
        <w:t xml:space="preserve"> the learning history and achievement level of the</w:t>
      </w:r>
      <w:r w:rsidR="007713A7">
        <w:t xml:space="preserve"> </w:t>
      </w:r>
      <w:r>
        <w:t xml:space="preserve">students that </w:t>
      </w:r>
      <w:r w:rsidR="00DC5A10">
        <w:t>work with the</w:t>
      </w:r>
      <w:r w:rsidR="007713A7">
        <w:t xml:space="preserve"> task</w:t>
      </w:r>
      <w:r w:rsidR="002B062D">
        <w:t>.</w:t>
      </w:r>
    </w:p>
    <w:p w14:paraId="3084B056" w14:textId="1CC01372" w:rsidR="007713A7" w:rsidRDefault="007713A7" w:rsidP="007713A7">
      <w:r>
        <w:t>The task does not guide the students along the inquiry process by providing all sub</w:t>
      </w:r>
      <w:r w:rsidR="005A407F">
        <w:t>-</w:t>
      </w:r>
      <w:r>
        <w:t xml:space="preserve">questions that need to be answered for solving the main problem. The task allows students to (initially) </w:t>
      </w:r>
      <w:r w:rsidR="00BD7B98" w:rsidRPr="002166E4">
        <w:rPr>
          <w:b/>
        </w:rPr>
        <w:t>plan</w:t>
      </w:r>
      <w:r w:rsidR="00BD7B98">
        <w:t xml:space="preserve"> </w:t>
      </w:r>
      <w:r>
        <w:t xml:space="preserve">or think of the process of </w:t>
      </w:r>
      <w:r w:rsidR="00BD7B98" w:rsidRPr="002166E4">
        <w:rPr>
          <w:b/>
        </w:rPr>
        <w:t>inquiry</w:t>
      </w:r>
      <w:r w:rsidR="00BD7B98">
        <w:t xml:space="preserve"> </w:t>
      </w:r>
      <w:r>
        <w:t>by themselves.</w:t>
      </w:r>
    </w:p>
    <w:p w14:paraId="16BE462E" w14:textId="05161F24" w:rsidR="00BD7B98" w:rsidRPr="00DC5A10" w:rsidRDefault="007713A7" w:rsidP="00BD7B98">
      <w:r>
        <w:t>Finally, t</w:t>
      </w:r>
      <w:r w:rsidR="00BD7B98">
        <w:t xml:space="preserve">he task supports </w:t>
      </w:r>
      <w:r w:rsidRPr="002166E4">
        <w:rPr>
          <w:b/>
        </w:rPr>
        <w:t>collaboration and communication</w:t>
      </w:r>
      <w:r w:rsidR="00DC5A10" w:rsidRPr="002166E4">
        <w:t>, for instance by providing information of how to distribute work</w:t>
      </w:r>
      <w:r w:rsidR="00DC5A10">
        <w:t>, or</w:t>
      </w:r>
      <w:r w:rsidR="00DC5A10" w:rsidRPr="002166E4">
        <w:t xml:space="preserve"> by including the need for a presentation of results</w:t>
      </w:r>
      <w:r w:rsidRPr="00DC5A10">
        <w:t>.</w:t>
      </w:r>
    </w:p>
    <w:p w14:paraId="6A845DB5" w14:textId="77777777" w:rsidR="00BD7B98" w:rsidRDefault="00BD7B98" w:rsidP="00BD7B98"/>
    <w:p w14:paraId="1AF3AC22" w14:textId="69AC8151" w:rsidR="00C60F57" w:rsidRDefault="00B16A7D">
      <w:r>
        <w:t>In the cloud</w:t>
      </w:r>
      <w:r w:rsidR="00C60F57">
        <w:t xml:space="preserve"> ‘World of Work</w:t>
      </w:r>
      <w:r>
        <w:t xml:space="preserve">' </w:t>
      </w:r>
      <w:r w:rsidR="00EF0ECD">
        <w:rPr>
          <w:shd w:val="clear" w:color="auto" w:fill="FFFFFF"/>
        </w:rPr>
        <w:t xml:space="preserve">four dimensions </w:t>
      </w:r>
      <w:r w:rsidR="007E744D">
        <w:rPr>
          <w:shd w:val="clear" w:color="auto" w:fill="FFFFFF"/>
        </w:rPr>
        <w:t xml:space="preserve">of how tasks can be connected to the World of Work </w:t>
      </w:r>
      <w:r w:rsidR="00E40CD5">
        <w:rPr>
          <w:shd w:val="clear" w:color="auto" w:fill="FFFFFF"/>
        </w:rPr>
        <w:t xml:space="preserve">are </w:t>
      </w:r>
      <w:r w:rsidR="007E744D">
        <w:rPr>
          <w:shd w:val="clear" w:color="auto" w:fill="FFFFFF"/>
        </w:rPr>
        <w:t>presented</w:t>
      </w:r>
      <w:r w:rsidR="00E40CD5">
        <w:rPr>
          <w:shd w:val="clear" w:color="auto" w:fill="FFFFFF"/>
        </w:rPr>
        <w:t xml:space="preserve">: </w:t>
      </w:r>
      <w:r w:rsidR="00C60F57">
        <w:rPr>
          <w:shd w:val="clear" w:color="auto" w:fill="FFFFFF"/>
        </w:rPr>
        <w:t>Context</w:t>
      </w:r>
      <w:r w:rsidR="00962F3D">
        <w:rPr>
          <w:shd w:val="clear" w:color="auto" w:fill="FFFFFF"/>
        </w:rPr>
        <w:t>,</w:t>
      </w:r>
      <w:r w:rsidR="00C60F57">
        <w:rPr>
          <w:shd w:val="clear" w:color="auto" w:fill="FFFFFF"/>
        </w:rPr>
        <w:t xml:space="preserve"> Role</w:t>
      </w:r>
      <w:r w:rsidR="00962F3D">
        <w:rPr>
          <w:shd w:val="clear" w:color="auto" w:fill="FFFFFF"/>
        </w:rPr>
        <w:t>,</w:t>
      </w:r>
      <w:r w:rsidR="00C60F57">
        <w:rPr>
          <w:shd w:val="clear" w:color="auto" w:fill="FFFFFF"/>
        </w:rPr>
        <w:t xml:space="preserve"> Activity </w:t>
      </w:r>
      <w:r w:rsidR="00962F3D">
        <w:rPr>
          <w:shd w:val="clear" w:color="auto" w:fill="FFFFFF"/>
        </w:rPr>
        <w:t>and</w:t>
      </w:r>
      <w:r w:rsidR="00C60F57">
        <w:rPr>
          <w:shd w:val="clear" w:color="auto" w:fill="FFFFFF"/>
        </w:rPr>
        <w:t xml:space="preserve"> Product</w:t>
      </w:r>
      <w:r w:rsidR="00211C2A">
        <w:rPr>
          <w:rStyle w:val="Voetnootmarkering"/>
        </w:rPr>
        <w:footnoteReference w:id="1"/>
      </w:r>
      <w:r w:rsidR="00C60F57">
        <w:t xml:space="preserve">. </w:t>
      </w:r>
    </w:p>
    <w:p w14:paraId="111F650D" w14:textId="510AC969" w:rsidR="00C60F57" w:rsidRDefault="00C60F57">
      <w:r w:rsidRPr="00E404F1">
        <w:t xml:space="preserve">The </w:t>
      </w:r>
      <w:r w:rsidRPr="00E404F1">
        <w:rPr>
          <w:b/>
        </w:rPr>
        <w:t>context</w:t>
      </w:r>
      <w:r w:rsidRPr="00E404F1">
        <w:t xml:space="preserve"> in which the task is set relates to the </w:t>
      </w:r>
      <w:r w:rsidR="006121E9">
        <w:t>WoW</w:t>
      </w:r>
      <w:r w:rsidRPr="00E404F1">
        <w:t>. This relation</w:t>
      </w:r>
      <w:r>
        <w:t xml:space="preserve"> can be very strong if an </w:t>
      </w:r>
      <w:r w:rsidR="001772F0">
        <w:t>(</w:t>
      </w:r>
      <w:r>
        <w:t>authentic</w:t>
      </w:r>
      <w:r w:rsidR="001772F0">
        <w:t>)</w:t>
      </w:r>
      <w:r>
        <w:t xml:space="preserve"> practice from the WoW is used as the rich context for learning. It should provide a clear purpose and a need to know.</w:t>
      </w:r>
    </w:p>
    <w:p w14:paraId="19DCC7B0" w14:textId="19E9F338" w:rsidR="00C60F57" w:rsidRDefault="00C60F57">
      <w:r>
        <w:t>The relation between the context and the WoW may also be weak</w:t>
      </w:r>
      <w:r w:rsidR="00033A4E">
        <w:t>,</w:t>
      </w:r>
      <w:r>
        <w:t xml:space="preserve"> if for example the task is set in the context of the WoW, but this context is just a ‘superficial wrapping’ of the task, and does not remain important when working on the task. </w:t>
      </w:r>
    </w:p>
    <w:p w14:paraId="0E4F388F" w14:textId="6A93F272" w:rsidR="00C60F57" w:rsidRDefault="00C60F57">
      <w:r>
        <w:t xml:space="preserve">The </w:t>
      </w:r>
      <w:r>
        <w:rPr>
          <w:b/>
        </w:rPr>
        <w:t>activities</w:t>
      </w:r>
      <w:r>
        <w:t xml:space="preserve"> students do in the task are </w:t>
      </w:r>
      <w:r w:rsidR="00AC5A14">
        <w:t xml:space="preserve">related to authentic practices from the WoW. The activities can be </w:t>
      </w:r>
      <w:r>
        <w:t xml:space="preserve">more or less similar to activities actually </w:t>
      </w:r>
      <w:r w:rsidR="00AD76FC">
        <w:t xml:space="preserve">carried out </w:t>
      </w:r>
      <w:r>
        <w:t>by workers in the workplace. Also</w:t>
      </w:r>
      <w:r w:rsidR="00AD76FC">
        <w:t>,</w:t>
      </w:r>
      <w:r>
        <w:t xml:space="preserve"> the ways of working reflect characteristics of  daily work, for example teamwork, division of labour/tasks etc.  The activities </w:t>
      </w:r>
      <w:r w:rsidR="00AC5A14">
        <w:t xml:space="preserve">should </w:t>
      </w:r>
      <w:r>
        <w:t>have a clear purpose, involve authentic problems and reveal how mathematics and science are used. The focus</w:t>
      </w:r>
      <w:r w:rsidR="00AC5A14">
        <w:t xml:space="preserve"> in the activities </w:t>
      </w:r>
      <w:r>
        <w:t xml:space="preserve"> is on students using mathematics and science in ways and </w:t>
      </w:r>
      <w:r w:rsidR="00AC5A14">
        <w:t xml:space="preserve">in </w:t>
      </w:r>
      <w:r>
        <w:t>contexts related to the WoW. If students’ activities are very similar to typical problems in textbooks for mathematics and science, the connection between activities and WoW is weak.</w:t>
      </w:r>
    </w:p>
    <w:p w14:paraId="084A5865" w14:textId="3913DEE6" w:rsidR="00C60F57" w:rsidRDefault="00C60F57">
      <w:r>
        <w:t xml:space="preserve">Within the task students are placed in a </w:t>
      </w:r>
      <w:r>
        <w:rPr>
          <w:b/>
        </w:rPr>
        <w:t xml:space="preserve">professional role </w:t>
      </w:r>
      <w:r>
        <w:t xml:space="preserve">fitting the context of the task. In some sense students step out of their role as a student. </w:t>
      </w:r>
    </w:p>
    <w:p w14:paraId="272DC52D" w14:textId="385C374D" w:rsidR="00C60F57" w:rsidRDefault="00C60F57">
      <w:r>
        <w:lastRenderedPageBreak/>
        <w:t xml:space="preserve">The outcome of the task is a </w:t>
      </w:r>
      <w:r>
        <w:rPr>
          <w:b/>
        </w:rPr>
        <w:t>product</w:t>
      </w:r>
      <w:r>
        <w:t xml:space="preserve"> made by the students in their role as professional</w:t>
      </w:r>
      <w:r w:rsidR="00D5183D">
        <w:t>s</w:t>
      </w:r>
      <w:r>
        <w:t>, meant for an</w:t>
      </w:r>
      <w:r w:rsidR="00AC5A14">
        <w:t xml:space="preserve"> appropriate</w:t>
      </w:r>
      <w:r>
        <w:t xml:space="preserve"> audience. The product is similar to real products from the WoW. </w:t>
      </w:r>
    </w:p>
    <w:p w14:paraId="21F228D0" w14:textId="77777777" w:rsidR="00C60F57" w:rsidRDefault="00C60F57"/>
    <w:p w14:paraId="31697CEF" w14:textId="1CC3B101" w:rsidR="00EF0ECD" w:rsidRDefault="00EF0ECD" w:rsidP="00EF0ECD">
      <w:r w:rsidRPr="00EF0ECD">
        <w:t>For a task to be strongly connected to the WoW</w:t>
      </w:r>
      <w:r w:rsidR="00AD76FC">
        <w:t>,</w:t>
      </w:r>
      <w:r w:rsidR="00AC5A14">
        <w:t xml:space="preserve"> </w:t>
      </w:r>
      <w:r w:rsidR="00641B28">
        <w:t>its</w:t>
      </w:r>
      <w:r w:rsidR="00AC5A14">
        <w:t xml:space="preserve"> relation to the WoW on</w:t>
      </w:r>
      <w:r w:rsidRPr="00EF0ECD">
        <w:t xml:space="preserve"> the </w:t>
      </w:r>
      <w:r>
        <w:t xml:space="preserve">dimensions </w:t>
      </w:r>
      <w:r w:rsidRPr="00EF0ECD">
        <w:t xml:space="preserve">context, role, activities and products should be explicit, well aligned and clear to the students. Not every task will have a similar emphasis on each of these four dimensions, but for </w:t>
      </w:r>
      <w:r>
        <w:t xml:space="preserve">a </w:t>
      </w:r>
      <w:r w:rsidR="00AC5A14">
        <w:t xml:space="preserve">strong </w:t>
      </w:r>
      <w:r w:rsidRPr="00EF0ECD">
        <w:t>connect</w:t>
      </w:r>
      <w:r>
        <w:t>ion</w:t>
      </w:r>
      <w:r w:rsidRPr="00EF0ECD">
        <w:t xml:space="preserve"> </w:t>
      </w:r>
      <w:r>
        <w:t xml:space="preserve">with the </w:t>
      </w:r>
      <w:r w:rsidRPr="00EF0ECD">
        <w:t>WoW the</w:t>
      </w:r>
      <w:r>
        <w:t>se dimensions need</w:t>
      </w:r>
      <w:r w:rsidRPr="00EF0ECD">
        <w:t xml:space="preserve"> to be taken into account in the actual </w:t>
      </w:r>
      <w:r>
        <w:t>(re)</w:t>
      </w:r>
      <w:r w:rsidRPr="00EF0ECD">
        <w:t>design of task</w:t>
      </w:r>
      <w:r>
        <w:t>s</w:t>
      </w:r>
      <w:r w:rsidRPr="00EF0ECD">
        <w:t xml:space="preserve"> for students. </w:t>
      </w:r>
    </w:p>
    <w:p w14:paraId="21DB9B60" w14:textId="77777777" w:rsidR="00565B7C" w:rsidRDefault="00565B7C" w:rsidP="00565B7C"/>
    <w:p w14:paraId="64F214B6" w14:textId="77777777" w:rsidR="00FC6108" w:rsidRDefault="00FC6108">
      <w:pPr>
        <w:rPr>
          <w:rFonts w:ascii="Calibri" w:eastAsia="MS Gothic" w:hAnsi="Calibri"/>
          <w:b/>
          <w:bCs/>
          <w:color w:val="345A8A"/>
          <w:sz w:val="36"/>
          <w:szCs w:val="32"/>
        </w:rPr>
      </w:pPr>
      <w:bookmarkStart w:id="5" w:name="_Toc361145226"/>
      <w:r>
        <w:br w:type="page"/>
      </w:r>
    </w:p>
    <w:p w14:paraId="48CF421C" w14:textId="08FCB900" w:rsidR="00C60F57" w:rsidRDefault="00C60F57">
      <w:pPr>
        <w:pStyle w:val="Kop1"/>
      </w:pPr>
      <w:bookmarkStart w:id="6" w:name="_Toc389464913"/>
      <w:r>
        <w:lastRenderedPageBreak/>
        <w:t>Guidelines</w:t>
      </w:r>
      <w:bookmarkEnd w:id="5"/>
      <w:r w:rsidR="00EF0ECD">
        <w:t xml:space="preserve"> for </w:t>
      </w:r>
      <w:r w:rsidR="005458F2">
        <w:t>(re)</w:t>
      </w:r>
      <w:r w:rsidR="00EF0ECD">
        <w:t>designing</w:t>
      </w:r>
      <w:r>
        <w:t xml:space="preserve"> IBST task</w:t>
      </w:r>
      <w:r w:rsidR="00EF0ECD">
        <w:t>s</w:t>
      </w:r>
      <w:r>
        <w:t xml:space="preserve"> connected to </w:t>
      </w:r>
      <w:r w:rsidR="006121E9">
        <w:t xml:space="preserve">the </w:t>
      </w:r>
      <w:r>
        <w:t>W</w:t>
      </w:r>
      <w:r w:rsidR="006121E9">
        <w:t xml:space="preserve">orld of </w:t>
      </w:r>
      <w:r w:rsidR="00EF0ECD">
        <w:t>W</w:t>
      </w:r>
      <w:r w:rsidR="006121E9">
        <w:t>ork</w:t>
      </w:r>
      <w:bookmarkEnd w:id="6"/>
    </w:p>
    <w:p w14:paraId="27FE083C" w14:textId="512A5094" w:rsidR="00033A4E" w:rsidRPr="00033A4E" w:rsidRDefault="00033A4E" w:rsidP="00F3561A">
      <w:pPr>
        <w:rPr>
          <w:lang w:val="en-US"/>
        </w:rPr>
      </w:pPr>
      <w:r>
        <w:rPr>
          <w:lang w:val="en-US"/>
        </w:rPr>
        <w:t>The</w:t>
      </w:r>
      <w:r w:rsidRPr="00033A4E">
        <w:rPr>
          <w:lang w:val="en-US"/>
        </w:rPr>
        <w:t xml:space="preserve"> point of departure for desig</w:t>
      </w:r>
      <w:r>
        <w:rPr>
          <w:lang w:val="en-US"/>
        </w:rPr>
        <w:t xml:space="preserve">ning </w:t>
      </w:r>
      <w:r w:rsidR="00641B28" w:rsidRPr="002D1527">
        <w:rPr>
          <w:i/>
          <w:lang w:val="en-US"/>
        </w:rPr>
        <w:t>mascil</w:t>
      </w:r>
      <w:r w:rsidR="00AD76FC">
        <w:rPr>
          <w:lang w:val="en-US"/>
        </w:rPr>
        <w:t xml:space="preserve"> </w:t>
      </w:r>
      <w:r>
        <w:rPr>
          <w:lang w:val="en-US"/>
        </w:rPr>
        <w:t xml:space="preserve">tasks </w:t>
      </w:r>
      <w:r w:rsidR="00641B28">
        <w:rPr>
          <w:lang w:val="en-US"/>
        </w:rPr>
        <w:t xml:space="preserve">consists of </w:t>
      </w:r>
      <w:r>
        <w:rPr>
          <w:lang w:val="en-US"/>
        </w:rPr>
        <w:t xml:space="preserve">the national curricula for </w:t>
      </w:r>
      <w:r w:rsidR="006619F9">
        <w:rPr>
          <w:lang w:val="en-US"/>
        </w:rPr>
        <w:t xml:space="preserve">the </w:t>
      </w:r>
      <w:r>
        <w:rPr>
          <w:lang w:val="en-US"/>
        </w:rPr>
        <w:t>science</w:t>
      </w:r>
      <w:r w:rsidR="006619F9">
        <w:rPr>
          <w:lang w:val="en-US"/>
        </w:rPr>
        <w:t xml:space="preserve"> disciplines</w:t>
      </w:r>
      <w:r>
        <w:rPr>
          <w:lang w:val="en-US"/>
        </w:rPr>
        <w:t xml:space="preserve"> and mathematics. It is important that the tasks fit the goals of the curriculum and that appropriate content</w:t>
      </w:r>
      <w:r w:rsidR="00C82095">
        <w:rPr>
          <w:lang w:val="en-US"/>
        </w:rPr>
        <w:t xml:space="preserve"> </w:t>
      </w:r>
      <w:r>
        <w:rPr>
          <w:lang w:val="en-US"/>
        </w:rPr>
        <w:t xml:space="preserve">knowledge is addressed. As </w:t>
      </w:r>
      <w:r w:rsidR="00534962">
        <w:rPr>
          <w:lang w:val="en-US"/>
        </w:rPr>
        <w:t>discussed in the theoretical background, using contexts and authentic practices in IBST does not cause a decrease in content</w:t>
      </w:r>
      <w:r w:rsidR="00C82095">
        <w:rPr>
          <w:lang w:val="en-US"/>
        </w:rPr>
        <w:t xml:space="preserve"> </w:t>
      </w:r>
      <w:r w:rsidR="00534962">
        <w:rPr>
          <w:lang w:val="en-US"/>
        </w:rPr>
        <w:t xml:space="preserve">knowledge and understanding if the tasks are carefully designed.  </w:t>
      </w:r>
    </w:p>
    <w:p w14:paraId="11DAD8E3" w14:textId="77777777" w:rsidR="00116522" w:rsidRPr="00033A4E" w:rsidRDefault="00116522" w:rsidP="00F3561A">
      <w:pPr>
        <w:rPr>
          <w:lang w:val="en-US"/>
        </w:rPr>
      </w:pPr>
    </w:p>
    <w:p w14:paraId="5227F886" w14:textId="77777777" w:rsidR="00C60F57" w:rsidRDefault="00C60F57">
      <w:pPr>
        <w:pStyle w:val="Kop2"/>
      </w:pPr>
      <w:bookmarkStart w:id="7" w:name="_Toc389464914"/>
      <w:r>
        <w:t>Characteristics of tasks for IBST</w:t>
      </w:r>
      <w:bookmarkEnd w:id="7"/>
    </w:p>
    <w:p w14:paraId="1BC98F7F" w14:textId="3D168A60" w:rsidR="00565B7C" w:rsidRDefault="00565B7C" w:rsidP="00565B7C">
      <w:r>
        <w:t xml:space="preserve">First of all, </w:t>
      </w:r>
      <w:r w:rsidR="00A703EE">
        <w:t xml:space="preserve">the </w:t>
      </w:r>
      <w:r>
        <w:t>tasks th</w:t>
      </w:r>
      <w:r w:rsidR="00A703EE">
        <w:t>at</w:t>
      </w:r>
      <w:r>
        <w:t xml:space="preserve"> teacher</w:t>
      </w:r>
      <w:r w:rsidR="00A703EE">
        <w:t>s</w:t>
      </w:r>
      <w:r>
        <w:t xml:space="preserve"> give to the students have a major influence in determining the learning that takes place. In this section we describe guidelines for (re)designing tasks that promote inquiry-based learning. However, the resulting written task </w:t>
      </w:r>
      <w:r w:rsidR="005700C5">
        <w:t xml:space="preserve">does </w:t>
      </w:r>
      <w:r>
        <w:t xml:space="preserve">not per se </w:t>
      </w:r>
      <w:r w:rsidR="005700C5">
        <w:t>promote inquiry by students</w:t>
      </w:r>
      <w:r>
        <w:t xml:space="preserve">, </w:t>
      </w:r>
      <w:r w:rsidR="005700C5">
        <w:t xml:space="preserve">since </w:t>
      </w:r>
      <w:r>
        <w:t xml:space="preserve">teachers </w:t>
      </w:r>
      <w:r w:rsidR="005700C5">
        <w:t xml:space="preserve">may </w:t>
      </w:r>
      <w:r>
        <w:t>present an ‘IBL’ task</w:t>
      </w:r>
      <w:r w:rsidR="00FE7D86">
        <w:t xml:space="preserve"> in a closed an</w:t>
      </w:r>
      <w:r w:rsidR="00641B28">
        <w:t>d</w:t>
      </w:r>
      <w:r w:rsidR="00FE7D86">
        <w:t xml:space="preserve"> structured way, thus removing the IBL characteristics</w:t>
      </w:r>
      <w:r w:rsidR="005700C5">
        <w:t>.</w:t>
      </w:r>
      <w:r>
        <w:t xml:space="preserve"> </w:t>
      </w:r>
      <w:r w:rsidR="005700C5">
        <w:t xml:space="preserve">The reverse is also true: </w:t>
      </w:r>
      <w:r>
        <w:t>some teachers</w:t>
      </w:r>
    </w:p>
    <w:p w14:paraId="62760A0A" w14:textId="45C85A8B" w:rsidR="00C60F57" w:rsidRDefault="005700C5">
      <w:r>
        <w:t xml:space="preserve">may </w:t>
      </w:r>
      <w:r w:rsidR="00565B7C">
        <w:t xml:space="preserve">present a task that </w:t>
      </w:r>
      <w:r>
        <w:t xml:space="preserve">can </w:t>
      </w:r>
      <w:r w:rsidR="00565B7C">
        <w:t xml:space="preserve">be seen as closed and non-IBL in a way that promotes inquiry. Taking this into consideration, </w:t>
      </w:r>
      <w:r w:rsidR="00C60F57">
        <w:t>tasks for IBST will hav</w:t>
      </w:r>
      <w:r w:rsidR="00D476BD">
        <w:t>e the following characteristics</w:t>
      </w:r>
      <w:r w:rsidR="00641B28">
        <w:t>:</w:t>
      </w:r>
    </w:p>
    <w:p w14:paraId="656C07E8" w14:textId="08655BEC" w:rsidR="00C60F57" w:rsidRDefault="005700C5" w:rsidP="00FC6108">
      <w:pPr>
        <w:pStyle w:val="Kop3"/>
        <w:numPr>
          <w:ilvl w:val="0"/>
          <w:numId w:val="39"/>
        </w:numPr>
      </w:pPr>
      <w:r>
        <w:t xml:space="preserve">Tasks </w:t>
      </w:r>
      <w:r w:rsidR="00421152">
        <w:t>support inquiry by students</w:t>
      </w:r>
      <w:r w:rsidR="000E3851">
        <w:t xml:space="preserve"> </w:t>
      </w:r>
    </w:p>
    <w:p w14:paraId="2E34FDBB" w14:textId="6E5BCEB8" w:rsidR="00C60F57" w:rsidRDefault="00C60F57">
      <w:pPr>
        <w:pStyle w:val="Geenafstand"/>
      </w:pPr>
      <w:r>
        <w:t xml:space="preserve">To provide students </w:t>
      </w:r>
      <w:r w:rsidR="00C82095">
        <w:t xml:space="preserve">with </w:t>
      </w:r>
      <w:r>
        <w:t>optimal opportunities for exploration, tasks should not be too structured in advance. In many textbooks for mathematics</w:t>
      </w:r>
      <w:r w:rsidR="00641B28">
        <w:t xml:space="preserve"> and </w:t>
      </w:r>
      <w:r>
        <w:t>science</w:t>
      </w:r>
      <w:r w:rsidR="00641B28">
        <w:t>,</w:t>
      </w:r>
      <w:r>
        <w:t xml:space="preserve"> tasks are divided into smaller </w:t>
      </w:r>
      <w:r w:rsidR="005A407F">
        <w:t>sub-</w:t>
      </w:r>
      <w:r>
        <w:t xml:space="preserve">tasks to guide students </w:t>
      </w:r>
      <w:r w:rsidR="00FE7D86">
        <w:t xml:space="preserve">smoothly </w:t>
      </w:r>
      <w:r>
        <w:t>along all possible problems they might confront. In IBST it is the student who gets the opportunity to think of how the problem can be structured and divided into smaller problems.</w:t>
      </w:r>
      <w:r w:rsidR="000E3851">
        <w:t xml:space="preserve"> This fosters inquiry by students and ownership of the problems that need to be solved to fulfill the task.</w:t>
      </w:r>
      <w:r w:rsidR="00D476BD">
        <w:t xml:space="preserve"> </w:t>
      </w:r>
      <w:r w:rsidR="00641B28">
        <w:t>The</w:t>
      </w:r>
      <w:r w:rsidR="00D476BD">
        <w:t xml:space="preserve"> </w:t>
      </w:r>
      <w:r w:rsidR="006121E9">
        <w:t>PRIMAS</w:t>
      </w:r>
      <w:r w:rsidR="00641B28">
        <w:t xml:space="preserve"> </w:t>
      </w:r>
      <w:r w:rsidR="00D476BD">
        <w:t xml:space="preserve">project </w:t>
      </w:r>
      <w:r w:rsidR="00641B28">
        <w:t xml:space="preserve">formulates advice for </w:t>
      </w:r>
      <w:r w:rsidR="00D476BD">
        <w:t xml:space="preserve">teachers </w:t>
      </w:r>
      <w:r w:rsidR="00641B28">
        <w:t>on</w:t>
      </w:r>
      <w:r w:rsidR="00D476BD">
        <w:t xml:space="preserve"> how to deal with </w:t>
      </w:r>
      <w:r>
        <w:t>unstructured p</w:t>
      </w:r>
      <w:r w:rsidR="00D476BD">
        <w:t>roblems (see Table 1).</w:t>
      </w:r>
    </w:p>
    <w:p w14:paraId="41F6AEB3" w14:textId="77777777" w:rsidR="00C60F57" w:rsidRDefault="00C60F57">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97"/>
      </w:tblGrid>
      <w:tr w:rsidR="002166E4" w14:paraId="3F4B3A80" w14:textId="77777777" w:rsidTr="002166E4">
        <w:tc>
          <w:tcPr>
            <w:tcW w:w="4219" w:type="dxa"/>
          </w:tcPr>
          <w:p w14:paraId="561216CB" w14:textId="72A35AD9" w:rsidR="002166E4" w:rsidRPr="002166E4" w:rsidRDefault="002166E4">
            <w:pPr>
              <w:rPr>
                <w:sz w:val="20"/>
              </w:rPr>
            </w:pPr>
            <w:r w:rsidRPr="002166E4">
              <w:rPr>
                <w:sz w:val="20"/>
              </w:rPr>
              <w:t>IBL Teaching strategies</w:t>
            </w:r>
          </w:p>
        </w:tc>
        <w:tc>
          <w:tcPr>
            <w:tcW w:w="4297" w:type="dxa"/>
          </w:tcPr>
          <w:p w14:paraId="0F01489C" w14:textId="080E6F57" w:rsidR="002166E4" w:rsidRPr="002166E4" w:rsidRDefault="002166E4" w:rsidP="002166E4">
            <w:pPr>
              <w:rPr>
                <w:sz w:val="20"/>
              </w:rPr>
            </w:pPr>
            <w:r w:rsidRPr="002166E4">
              <w:rPr>
                <w:sz w:val="20"/>
              </w:rPr>
              <w:t>Suggested questions</w:t>
            </w:r>
          </w:p>
        </w:tc>
      </w:tr>
      <w:tr w:rsidR="00C60F57" w14:paraId="4C36972C" w14:textId="77777777" w:rsidTr="002166E4">
        <w:trPr>
          <w:trHeight w:val="1812"/>
        </w:trPr>
        <w:tc>
          <w:tcPr>
            <w:tcW w:w="4219" w:type="dxa"/>
          </w:tcPr>
          <w:p w14:paraId="2F98D29C" w14:textId="531655DD" w:rsidR="00C60F57" w:rsidRDefault="00C60F57">
            <w:pPr>
              <w:rPr>
                <w:b/>
                <w:sz w:val="20"/>
              </w:rPr>
            </w:pPr>
            <w:r>
              <w:rPr>
                <w:b/>
                <w:sz w:val="20"/>
              </w:rPr>
              <w:t xml:space="preserve">Allow students time to understand </w:t>
            </w:r>
            <w:r w:rsidR="00C82095">
              <w:rPr>
                <w:b/>
                <w:sz w:val="20"/>
              </w:rPr>
              <w:t xml:space="preserve">the problem </w:t>
            </w:r>
            <w:r>
              <w:rPr>
                <w:b/>
                <w:sz w:val="20"/>
              </w:rPr>
              <w:t xml:space="preserve">and engage with </w:t>
            </w:r>
            <w:r w:rsidR="00C82095">
              <w:rPr>
                <w:b/>
                <w:sz w:val="20"/>
              </w:rPr>
              <w:t>it</w:t>
            </w:r>
          </w:p>
          <w:p w14:paraId="14D46C63" w14:textId="77777777" w:rsidR="00C60F57" w:rsidRDefault="00C60F57">
            <w:pPr>
              <w:rPr>
                <w:sz w:val="20"/>
              </w:rPr>
            </w:pPr>
            <w:r>
              <w:rPr>
                <w:sz w:val="20"/>
              </w:rPr>
              <w:t>Discourage students from rushing in too quickly or from asking you to help too soon.</w:t>
            </w:r>
          </w:p>
        </w:tc>
        <w:tc>
          <w:tcPr>
            <w:tcW w:w="4297" w:type="dxa"/>
          </w:tcPr>
          <w:p w14:paraId="344ED0E8" w14:textId="77777777" w:rsidR="00C60F57" w:rsidRDefault="00C60F57">
            <w:pPr>
              <w:numPr>
                <w:ilvl w:val="0"/>
                <w:numId w:val="24"/>
              </w:numPr>
              <w:rPr>
                <w:i/>
                <w:sz w:val="20"/>
              </w:rPr>
            </w:pPr>
            <w:r>
              <w:rPr>
                <w:i/>
                <w:sz w:val="20"/>
              </w:rPr>
              <w:t xml:space="preserve">Take your time, don't rush. </w:t>
            </w:r>
          </w:p>
          <w:p w14:paraId="4EB11DEF" w14:textId="77777777" w:rsidR="00C60F57" w:rsidRDefault="00C60F57">
            <w:pPr>
              <w:numPr>
                <w:ilvl w:val="0"/>
                <w:numId w:val="24"/>
              </w:numPr>
              <w:rPr>
                <w:i/>
                <w:sz w:val="20"/>
              </w:rPr>
            </w:pPr>
            <w:r>
              <w:rPr>
                <w:i/>
                <w:sz w:val="20"/>
              </w:rPr>
              <w:t xml:space="preserve">What do you know? </w:t>
            </w:r>
          </w:p>
          <w:p w14:paraId="7BD648DD" w14:textId="77777777" w:rsidR="00C60F57" w:rsidRDefault="00C60F57">
            <w:pPr>
              <w:numPr>
                <w:ilvl w:val="0"/>
                <w:numId w:val="24"/>
              </w:numPr>
              <w:rPr>
                <w:i/>
                <w:sz w:val="20"/>
              </w:rPr>
            </w:pPr>
            <w:r>
              <w:rPr>
                <w:i/>
                <w:sz w:val="20"/>
              </w:rPr>
              <w:t>What are you trying to do?</w:t>
            </w:r>
          </w:p>
          <w:p w14:paraId="66B64DD4" w14:textId="77777777" w:rsidR="00C60F57" w:rsidRDefault="00C60F57">
            <w:pPr>
              <w:numPr>
                <w:ilvl w:val="0"/>
                <w:numId w:val="24"/>
              </w:numPr>
              <w:rPr>
                <w:i/>
                <w:sz w:val="20"/>
              </w:rPr>
            </w:pPr>
            <w:r>
              <w:rPr>
                <w:i/>
                <w:sz w:val="20"/>
              </w:rPr>
              <w:t>What is fixed? What can be changed?</w:t>
            </w:r>
          </w:p>
          <w:p w14:paraId="7AD4AE7B" w14:textId="1AE8E437" w:rsidR="00C60F57" w:rsidRDefault="00C60F57">
            <w:pPr>
              <w:numPr>
                <w:ilvl w:val="0"/>
                <w:numId w:val="24"/>
              </w:numPr>
              <w:rPr>
                <w:i/>
                <w:sz w:val="20"/>
              </w:rPr>
            </w:pPr>
            <w:r>
              <w:rPr>
                <w:i/>
                <w:sz w:val="20"/>
              </w:rPr>
              <w:t xml:space="preserve">Don't ask for help too quickly </w:t>
            </w:r>
            <w:r w:rsidR="00C82095">
              <w:rPr>
                <w:i/>
                <w:sz w:val="20"/>
              </w:rPr>
              <w:t>–</w:t>
            </w:r>
            <w:r>
              <w:rPr>
                <w:i/>
                <w:sz w:val="20"/>
              </w:rPr>
              <w:t xml:space="preserve"> try to think it out between you. </w:t>
            </w:r>
          </w:p>
        </w:tc>
      </w:tr>
      <w:tr w:rsidR="00C60F57" w14:paraId="049B00DF" w14:textId="77777777" w:rsidTr="002166E4">
        <w:trPr>
          <w:trHeight w:val="1825"/>
        </w:trPr>
        <w:tc>
          <w:tcPr>
            <w:tcW w:w="4219" w:type="dxa"/>
          </w:tcPr>
          <w:p w14:paraId="655261CD" w14:textId="77777777" w:rsidR="00C60F57" w:rsidRDefault="00C60F57">
            <w:pPr>
              <w:rPr>
                <w:b/>
                <w:sz w:val="20"/>
              </w:rPr>
            </w:pPr>
            <w:r>
              <w:rPr>
                <w:b/>
                <w:sz w:val="20"/>
              </w:rPr>
              <w:t>Offer strategic rather than technical hints</w:t>
            </w:r>
          </w:p>
          <w:p w14:paraId="247EE81D" w14:textId="77777777" w:rsidR="00C60F57" w:rsidRDefault="00C60F57">
            <w:pPr>
              <w:rPr>
                <w:sz w:val="20"/>
              </w:rPr>
            </w:pPr>
            <w:r>
              <w:rPr>
                <w:sz w:val="20"/>
              </w:rPr>
              <w:t xml:space="preserve">Avoid simplifying problems for students by breaking it down into steps. </w:t>
            </w:r>
          </w:p>
          <w:p w14:paraId="339B76EE" w14:textId="77777777" w:rsidR="00C60F57" w:rsidRDefault="00C60F57">
            <w:pPr>
              <w:rPr>
                <w:b/>
                <w:sz w:val="20"/>
              </w:rPr>
            </w:pPr>
          </w:p>
        </w:tc>
        <w:tc>
          <w:tcPr>
            <w:tcW w:w="4297" w:type="dxa"/>
          </w:tcPr>
          <w:p w14:paraId="6E2E4C7E" w14:textId="77777777" w:rsidR="00C60F57" w:rsidRDefault="00C60F57">
            <w:pPr>
              <w:numPr>
                <w:ilvl w:val="0"/>
                <w:numId w:val="24"/>
              </w:numPr>
              <w:rPr>
                <w:i/>
                <w:sz w:val="20"/>
              </w:rPr>
            </w:pPr>
            <w:r>
              <w:rPr>
                <w:i/>
                <w:sz w:val="20"/>
              </w:rPr>
              <w:t xml:space="preserve">How could you get started on this problem? </w:t>
            </w:r>
          </w:p>
          <w:p w14:paraId="01397B48" w14:textId="77777777" w:rsidR="00C60F57" w:rsidRDefault="00C60F57">
            <w:pPr>
              <w:numPr>
                <w:ilvl w:val="0"/>
                <w:numId w:val="24"/>
              </w:numPr>
              <w:rPr>
                <w:i/>
                <w:sz w:val="20"/>
              </w:rPr>
            </w:pPr>
            <w:r>
              <w:rPr>
                <w:i/>
                <w:sz w:val="20"/>
              </w:rPr>
              <w:t>What have you tried so far?</w:t>
            </w:r>
          </w:p>
          <w:p w14:paraId="153B363A" w14:textId="77777777" w:rsidR="00C60F57" w:rsidRDefault="00C60F57">
            <w:pPr>
              <w:numPr>
                <w:ilvl w:val="0"/>
                <w:numId w:val="24"/>
              </w:numPr>
              <w:rPr>
                <w:i/>
                <w:sz w:val="20"/>
              </w:rPr>
            </w:pPr>
            <w:r>
              <w:rPr>
                <w:i/>
                <w:sz w:val="20"/>
              </w:rPr>
              <w:t>Can you try a specific example?</w:t>
            </w:r>
          </w:p>
          <w:p w14:paraId="1B9C03F9" w14:textId="77777777" w:rsidR="00C60F57" w:rsidRDefault="00C60F57">
            <w:pPr>
              <w:numPr>
                <w:ilvl w:val="0"/>
                <w:numId w:val="24"/>
              </w:numPr>
              <w:rPr>
                <w:i/>
                <w:sz w:val="20"/>
              </w:rPr>
            </w:pPr>
            <w:r>
              <w:rPr>
                <w:i/>
                <w:sz w:val="20"/>
              </w:rPr>
              <w:t>How can you be systematic here?</w:t>
            </w:r>
          </w:p>
          <w:p w14:paraId="4B512F93" w14:textId="77777777" w:rsidR="00C60F57" w:rsidRDefault="00C60F57">
            <w:pPr>
              <w:numPr>
                <w:ilvl w:val="0"/>
                <w:numId w:val="24"/>
              </w:numPr>
              <w:rPr>
                <w:i/>
                <w:sz w:val="20"/>
              </w:rPr>
            </w:pPr>
            <w:r>
              <w:rPr>
                <w:i/>
                <w:sz w:val="20"/>
              </w:rPr>
              <w:t>Can you think of a helpful representation?</w:t>
            </w:r>
          </w:p>
        </w:tc>
      </w:tr>
      <w:tr w:rsidR="00C60F57" w14:paraId="30929AE0" w14:textId="77777777" w:rsidTr="002166E4">
        <w:trPr>
          <w:trHeight w:val="1567"/>
        </w:trPr>
        <w:tc>
          <w:tcPr>
            <w:tcW w:w="4219" w:type="dxa"/>
          </w:tcPr>
          <w:p w14:paraId="497D1A5E" w14:textId="77777777" w:rsidR="00C60F57" w:rsidRDefault="00C60F57">
            <w:pPr>
              <w:rPr>
                <w:b/>
                <w:sz w:val="20"/>
              </w:rPr>
            </w:pPr>
            <w:r>
              <w:rPr>
                <w:b/>
                <w:sz w:val="20"/>
              </w:rPr>
              <w:lastRenderedPageBreak/>
              <w:t>Encourage students to consider alternative methods and approaches</w:t>
            </w:r>
          </w:p>
          <w:p w14:paraId="5F695A31" w14:textId="77777777" w:rsidR="00C60F57" w:rsidRDefault="00C60F57">
            <w:pPr>
              <w:rPr>
                <w:sz w:val="20"/>
              </w:rPr>
            </w:pPr>
            <w:r>
              <w:rPr>
                <w:sz w:val="20"/>
              </w:rPr>
              <w:t>Encourage students to compare their own methods.</w:t>
            </w:r>
          </w:p>
        </w:tc>
        <w:tc>
          <w:tcPr>
            <w:tcW w:w="4297" w:type="dxa"/>
          </w:tcPr>
          <w:p w14:paraId="67B60608" w14:textId="77777777" w:rsidR="00C60F57" w:rsidRDefault="00C60F57">
            <w:pPr>
              <w:numPr>
                <w:ilvl w:val="0"/>
                <w:numId w:val="24"/>
              </w:numPr>
              <w:rPr>
                <w:i/>
                <w:sz w:val="20"/>
              </w:rPr>
            </w:pPr>
            <w:r>
              <w:rPr>
                <w:i/>
                <w:sz w:val="20"/>
              </w:rPr>
              <w:t>Is there another way of doing this?</w:t>
            </w:r>
          </w:p>
          <w:p w14:paraId="4D1240E4" w14:textId="77777777" w:rsidR="00C60F57" w:rsidRDefault="00C60F57">
            <w:pPr>
              <w:numPr>
                <w:ilvl w:val="0"/>
                <w:numId w:val="24"/>
              </w:numPr>
              <w:rPr>
                <w:i/>
                <w:sz w:val="20"/>
              </w:rPr>
            </w:pPr>
            <w:r>
              <w:rPr>
                <w:i/>
                <w:sz w:val="20"/>
              </w:rPr>
              <w:t>Describe your method to the rest of the group</w:t>
            </w:r>
          </w:p>
          <w:p w14:paraId="50503874" w14:textId="77777777" w:rsidR="00C60F57" w:rsidRDefault="00C60F57">
            <w:pPr>
              <w:numPr>
                <w:ilvl w:val="0"/>
                <w:numId w:val="24"/>
              </w:numPr>
              <w:rPr>
                <w:i/>
                <w:sz w:val="20"/>
              </w:rPr>
            </w:pPr>
            <w:r>
              <w:rPr>
                <w:i/>
                <w:sz w:val="20"/>
              </w:rPr>
              <w:t>Which of these two methods do you prefer and why?</w:t>
            </w:r>
          </w:p>
        </w:tc>
      </w:tr>
      <w:tr w:rsidR="00C60F57" w14:paraId="329D78F6" w14:textId="77777777" w:rsidTr="002166E4">
        <w:trPr>
          <w:trHeight w:val="1561"/>
        </w:trPr>
        <w:tc>
          <w:tcPr>
            <w:tcW w:w="4219" w:type="dxa"/>
          </w:tcPr>
          <w:p w14:paraId="034C49F6" w14:textId="77777777" w:rsidR="00C60F57" w:rsidRDefault="00C60F57">
            <w:pPr>
              <w:rPr>
                <w:b/>
                <w:sz w:val="20"/>
              </w:rPr>
            </w:pPr>
            <w:r>
              <w:rPr>
                <w:b/>
                <w:sz w:val="20"/>
              </w:rPr>
              <w:t xml:space="preserve">Encourage explanation </w:t>
            </w:r>
          </w:p>
          <w:p w14:paraId="20BE19E4" w14:textId="7387DF27" w:rsidR="00C60F57" w:rsidRDefault="00C60F57">
            <w:pPr>
              <w:rPr>
                <w:sz w:val="20"/>
              </w:rPr>
            </w:pPr>
            <w:r>
              <w:rPr>
                <w:sz w:val="20"/>
              </w:rPr>
              <w:t xml:space="preserve">Make </w:t>
            </w:r>
            <w:r w:rsidR="00C82095">
              <w:rPr>
                <w:sz w:val="20"/>
              </w:rPr>
              <w:t xml:space="preserve">students </w:t>
            </w:r>
            <w:r>
              <w:rPr>
                <w:sz w:val="20"/>
              </w:rPr>
              <w:t xml:space="preserve">do the reasoning, and encourage them to explain to one another. </w:t>
            </w:r>
          </w:p>
          <w:p w14:paraId="37F40A29" w14:textId="77777777" w:rsidR="00C60F57" w:rsidRDefault="00C60F57">
            <w:pPr>
              <w:rPr>
                <w:b/>
                <w:sz w:val="20"/>
              </w:rPr>
            </w:pPr>
          </w:p>
        </w:tc>
        <w:tc>
          <w:tcPr>
            <w:tcW w:w="4297" w:type="dxa"/>
          </w:tcPr>
          <w:p w14:paraId="28369891" w14:textId="77777777" w:rsidR="00C60F57" w:rsidRDefault="00C60F57">
            <w:pPr>
              <w:numPr>
                <w:ilvl w:val="0"/>
                <w:numId w:val="24"/>
              </w:numPr>
              <w:rPr>
                <w:i/>
                <w:sz w:val="20"/>
              </w:rPr>
            </w:pPr>
            <w:r>
              <w:rPr>
                <w:i/>
                <w:sz w:val="20"/>
              </w:rPr>
              <w:t>Can you explain your method?</w:t>
            </w:r>
          </w:p>
          <w:p w14:paraId="5187CC11" w14:textId="77777777" w:rsidR="00C60F57" w:rsidRDefault="00C60F57">
            <w:pPr>
              <w:numPr>
                <w:ilvl w:val="0"/>
                <w:numId w:val="24"/>
              </w:numPr>
              <w:rPr>
                <w:i/>
                <w:sz w:val="20"/>
              </w:rPr>
            </w:pPr>
            <w:r>
              <w:rPr>
                <w:i/>
                <w:sz w:val="20"/>
              </w:rPr>
              <w:t>Can you explain that again differently?</w:t>
            </w:r>
          </w:p>
          <w:p w14:paraId="61AC7666" w14:textId="77777777" w:rsidR="00C60F57" w:rsidRDefault="00C60F57">
            <w:pPr>
              <w:numPr>
                <w:ilvl w:val="0"/>
                <w:numId w:val="24"/>
              </w:numPr>
              <w:rPr>
                <w:i/>
                <w:sz w:val="20"/>
              </w:rPr>
            </w:pPr>
            <w:r>
              <w:rPr>
                <w:i/>
                <w:sz w:val="20"/>
              </w:rPr>
              <w:t>Can you put what Sarah just said into your own words?</w:t>
            </w:r>
          </w:p>
          <w:p w14:paraId="3047192C" w14:textId="77777777" w:rsidR="00C60F57" w:rsidRDefault="00C60F57">
            <w:pPr>
              <w:numPr>
                <w:ilvl w:val="0"/>
                <w:numId w:val="24"/>
              </w:numPr>
              <w:rPr>
                <w:i/>
                <w:sz w:val="20"/>
              </w:rPr>
            </w:pPr>
            <w:r>
              <w:rPr>
                <w:i/>
                <w:sz w:val="20"/>
              </w:rPr>
              <w:t>Can you write that down?</w:t>
            </w:r>
          </w:p>
        </w:tc>
      </w:tr>
      <w:tr w:rsidR="00C60F57" w14:paraId="13A362F1" w14:textId="77777777" w:rsidTr="002166E4">
        <w:trPr>
          <w:trHeight w:val="1826"/>
        </w:trPr>
        <w:tc>
          <w:tcPr>
            <w:tcW w:w="4219" w:type="dxa"/>
          </w:tcPr>
          <w:p w14:paraId="5E36563F" w14:textId="77777777" w:rsidR="00C60F57" w:rsidRDefault="00C60F57">
            <w:pPr>
              <w:rPr>
                <w:b/>
                <w:sz w:val="20"/>
              </w:rPr>
            </w:pPr>
            <w:r>
              <w:rPr>
                <w:b/>
                <w:sz w:val="20"/>
              </w:rPr>
              <w:t>Model thinking and powerful methods</w:t>
            </w:r>
          </w:p>
          <w:p w14:paraId="6597A9C4" w14:textId="77777777" w:rsidR="00C60F57" w:rsidRDefault="00C60F57">
            <w:pPr>
              <w:rPr>
                <w:sz w:val="20"/>
              </w:rPr>
            </w:pPr>
            <w:r>
              <w:rPr>
                <w:sz w:val="20"/>
              </w:rPr>
              <w:t>When students have done all they can, they will learn from being shown a powerful, elegant approach. If this is done at the beginning, however, they will simply imitate the method and not appreciate why it was needed.</w:t>
            </w:r>
          </w:p>
          <w:p w14:paraId="0658C037" w14:textId="77777777" w:rsidR="00C60F57" w:rsidRDefault="00C60F57">
            <w:pPr>
              <w:rPr>
                <w:b/>
                <w:sz w:val="20"/>
              </w:rPr>
            </w:pPr>
          </w:p>
        </w:tc>
        <w:tc>
          <w:tcPr>
            <w:tcW w:w="4297" w:type="dxa"/>
          </w:tcPr>
          <w:p w14:paraId="15D2A2B3" w14:textId="77777777" w:rsidR="00C60F57" w:rsidRDefault="00C60F57">
            <w:pPr>
              <w:numPr>
                <w:ilvl w:val="0"/>
                <w:numId w:val="24"/>
              </w:numPr>
              <w:rPr>
                <w:i/>
                <w:sz w:val="20"/>
              </w:rPr>
            </w:pPr>
            <w:r>
              <w:rPr>
                <w:i/>
                <w:sz w:val="20"/>
              </w:rPr>
              <w:t xml:space="preserve">Now I'm going to try this problem myself, thinking aloud. </w:t>
            </w:r>
          </w:p>
          <w:p w14:paraId="4CB860A7" w14:textId="3E88DED1" w:rsidR="00C60F57" w:rsidRDefault="00C60F57">
            <w:pPr>
              <w:numPr>
                <w:ilvl w:val="0"/>
                <w:numId w:val="24"/>
              </w:numPr>
              <w:rPr>
                <w:i/>
                <w:sz w:val="20"/>
              </w:rPr>
            </w:pPr>
            <w:r>
              <w:rPr>
                <w:i/>
                <w:sz w:val="20"/>
              </w:rPr>
              <w:t xml:space="preserve">I might make some mistakes here </w:t>
            </w:r>
            <w:r w:rsidR="00C82095">
              <w:rPr>
                <w:i/>
                <w:sz w:val="20"/>
              </w:rPr>
              <w:t>–</w:t>
            </w:r>
            <w:r>
              <w:rPr>
                <w:i/>
                <w:sz w:val="20"/>
              </w:rPr>
              <w:t xml:space="preserve"> try to spot them for me.</w:t>
            </w:r>
          </w:p>
          <w:p w14:paraId="5860C646" w14:textId="77777777" w:rsidR="00C60F57" w:rsidRDefault="00C60F57">
            <w:pPr>
              <w:numPr>
                <w:ilvl w:val="0"/>
                <w:numId w:val="24"/>
              </w:numPr>
              <w:rPr>
                <w:i/>
                <w:sz w:val="20"/>
              </w:rPr>
            </w:pPr>
            <w:r>
              <w:rPr>
                <w:i/>
                <w:sz w:val="20"/>
              </w:rPr>
              <w:t>This is one way of improving the solution.</w:t>
            </w:r>
          </w:p>
        </w:tc>
      </w:tr>
    </w:tbl>
    <w:p w14:paraId="7E178686" w14:textId="2D802689" w:rsidR="00C60F57" w:rsidRDefault="00C60F57">
      <w:pPr>
        <w:pStyle w:val="Geenafstand"/>
        <w:rPr>
          <w:sz w:val="20"/>
          <w:lang w:val="en-GB"/>
        </w:rPr>
      </w:pPr>
      <w:r>
        <w:rPr>
          <w:sz w:val="20"/>
          <w:lang w:val="en-GB"/>
        </w:rPr>
        <w:t xml:space="preserve">Table 1: Tips for dealing with unstructured problems </w:t>
      </w:r>
      <w:r w:rsidR="007578DF">
        <w:rPr>
          <w:rStyle w:val="Voetnootmarkering"/>
          <w:sz w:val="20"/>
          <w:lang w:val="en-GB"/>
        </w:rPr>
        <w:footnoteReference w:id="2"/>
      </w:r>
    </w:p>
    <w:p w14:paraId="6790ADC0" w14:textId="43858FAC" w:rsidR="00C60F57" w:rsidRDefault="005700C5" w:rsidP="00FC6108">
      <w:pPr>
        <w:pStyle w:val="Kop3"/>
        <w:numPr>
          <w:ilvl w:val="0"/>
          <w:numId w:val="39"/>
        </w:numPr>
      </w:pPr>
      <w:r>
        <w:t xml:space="preserve">Tasks </w:t>
      </w:r>
      <w:r w:rsidR="00421152">
        <w:t>allow for multiple solution strategies</w:t>
      </w:r>
    </w:p>
    <w:p w14:paraId="34668E52" w14:textId="17A6BF7F" w:rsidR="00C60F57" w:rsidRDefault="00C60F57">
      <w:pPr>
        <w:pStyle w:val="Geenafstand"/>
      </w:pPr>
      <w:r>
        <w:t xml:space="preserve">It is important that students learn to think about what </w:t>
      </w:r>
      <w:r w:rsidR="00D476BD">
        <w:t>they</w:t>
      </w:r>
      <w:r>
        <w:t xml:space="preserve"> already know and what </w:t>
      </w:r>
      <w:r w:rsidR="00D476BD">
        <w:t>they</w:t>
      </w:r>
      <w:r>
        <w:t xml:space="preserve"> do</w:t>
      </w:r>
      <w:r w:rsidR="00641B28">
        <w:t xml:space="preserve"> not </w:t>
      </w:r>
      <w:r>
        <w:t>know. Questions (</w:t>
      </w:r>
      <w:r w:rsidR="00534962">
        <w:t xml:space="preserve">posed </w:t>
      </w:r>
      <w:r>
        <w:t xml:space="preserve">by the teacher or the textbook) </w:t>
      </w:r>
      <w:r w:rsidR="00D476BD">
        <w:t xml:space="preserve">often </w:t>
      </w:r>
      <w:r w:rsidR="00C82095">
        <w:t xml:space="preserve">point </w:t>
      </w:r>
      <w:r w:rsidR="00D476BD">
        <w:t>at one solution</w:t>
      </w:r>
      <w:r>
        <w:t xml:space="preserve"> </w:t>
      </w:r>
      <w:r w:rsidR="00534962">
        <w:t xml:space="preserve">or </w:t>
      </w:r>
      <w:r w:rsidR="00C82095">
        <w:t xml:space="preserve">address </w:t>
      </w:r>
      <w:r w:rsidR="00534962">
        <w:t xml:space="preserve">only </w:t>
      </w:r>
      <w:r w:rsidR="00D476BD">
        <w:t>a</w:t>
      </w:r>
      <w:r>
        <w:t xml:space="preserve"> </w:t>
      </w:r>
      <w:r w:rsidR="00D476BD">
        <w:t xml:space="preserve">specific </w:t>
      </w:r>
      <w:r>
        <w:t xml:space="preserve">aspect of the problem. In IBST the question is posed in a </w:t>
      </w:r>
      <w:r w:rsidR="002166E4">
        <w:t xml:space="preserve">relevant </w:t>
      </w:r>
      <w:r>
        <w:t>and rich problem situation</w:t>
      </w:r>
      <w:r w:rsidR="002166E4">
        <w:t xml:space="preserve"> that is meaningful for the students. </w:t>
      </w:r>
      <w:r w:rsidR="00B46538">
        <w:t>What is meaningful for the students depends on their learning history</w:t>
      </w:r>
      <w:r w:rsidR="00DF2DCD">
        <w:t xml:space="preserve"> and their familiarity with the context</w:t>
      </w:r>
      <w:r w:rsidR="00B46538">
        <w:t xml:space="preserve">. The richness of the problem refers to a problem that does not evoke one method for solving it. </w:t>
      </w:r>
      <w:r w:rsidR="002166E4">
        <w:t>P</w:t>
      </w:r>
      <w:r>
        <w:t xml:space="preserve">art of the job </w:t>
      </w:r>
      <w:r w:rsidR="00D476BD">
        <w:t xml:space="preserve">for students </w:t>
      </w:r>
      <w:r>
        <w:t xml:space="preserve">is to clarify the question and </w:t>
      </w:r>
      <w:r w:rsidR="00D476BD">
        <w:t>to find</w:t>
      </w:r>
      <w:r>
        <w:t xml:space="preserve"> </w:t>
      </w:r>
      <w:r w:rsidR="00534962">
        <w:t xml:space="preserve">a </w:t>
      </w:r>
      <w:r>
        <w:t xml:space="preserve">procedure </w:t>
      </w:r>
      <w:r w:rsidR="00D476BD">
        <w:t>for</w:t>
      </w:r>
      <w:r>
        <w:t xml:space="preserve"> answer</w:t>
      </w:r>
      <w:r w:rsidR="00D476BD">
        <w:t>ing</w:t>
      </w:r>
      <w:r>
        <w:t xml:space="preserve"> </w:t>
      </w:r>
      <w:r w:rsidR="00534962">
        <w:t>it. In this process</w:t>
      </w:r>
      <w:r w:rsidR="00C82095">
        <w:t>,</w:t>
      </w:r>
      <w:r w:rsidR="00534962">
        <w:t xml:space="preserve"> students</w:t>
      </w:r>
      <w:r>
        <w:t xml:space="preserve"> try </w:t>
      </w:r>
      <w:r w:rsidR="00817537">
        <w:t xml:space="preserve">to </w:t>
      </w:r>
      <w:r>
        <w:t>model and solv</w:t>
      </w:r>
      <w:r w:rsidR="00817537">
        <w:t>e</w:t>
      </w:r>
      <w:r>
        <w:t xml:space="preserve"> the problem </w:t>
      </w:r>
      <w:r w:rsidR="00534962">
        <w:t>using</w:t>
      </w:r>
      <w:r>
        <w:t xml:space="preserve"> representations, relationships or ideas</w:t>
      </w:r>
      <w:r w:rsidR="00D476BD">
        <w:t xml:space="preserve">. Such activities are important </w:t>
      </w:r>
      <w:r w:rsidR="00AC0E7B">
        <w:t>for students to</w:t>
      </w:r>
      <w:r w:rsidR="00D476BD">
        <w:t xml:space="preserve"> </w:t>
      </w:r>
      <w:r>
        <w:t>foster creativity and experienc</w:t>
      </w:r>
      <w:r w:rsidR="00AC0E7B">
        <w:t>e</w:t>
      </w:r>
      <w:r>
        <w:t xml:space="preserve"> modeling cycle</w:t>
      </w:r>
      <w:r w:rsidR="00D476BD">
        <w:t>s</w:t>
      </w:r>
      <w:r>
        <w:t xml:space="preserve">. Tips for </w:t>
      </w:r>
      <w:r w:rsidR="00D476BD">
        <w:t>supporting</w:t>
      </w:r>
      <w:r>
        <w:t xml:space="preserve"> student-led inquiry from the </w:t>
      </w:r>
      <w:r w:rsidR="006121E9">
        <w:t>PRIMAS</w:t>
      </w:r>
      <w:r w:rsidR="00C82095">
        <w:t xml:space="preserve"> </w:t>
      </w:r>
      <w:r>
        <w:t>project</w:t>
      </w:r>
      <w:r>
        <w:rPr>
          <w:rStyle w:val="Voetnootmarkering"/>
        </w:rPr>
        <w:footnoteReference w:id="3"/>
      </w:r>
      <w:r>
        <w:t xml:space="preserve"> are:</w:t>
      </w:r>
    </w:p>
    <w:p w14:paraId="5D6EA505" w14:textId="6E3B20B4" w:rsidR="00C60F57" w:rsidRDefault="00297017">
      <w:pPr>
        <w:pStyle w:val="Geenafstand"/>
        <w:numPr>
          <w:ilvl w:val="0"/>
          <w:numId w:val="26"/>
        </w:numPr>
      </w:pPr>
      <w:r>
        <w:t>I</w:t>
      </w:r>
      <w:r w:rsidR="00C60F57">
        <w:t>ntroduce the situation</w:t>
      </w:r>
      <w:r>
        <w:t xml:space="preserve"> first</w:t>
      </w:r>
      <w:r w:rsidR="00C60F57">
        <w:t>, then ask students to identify problems</w:t>
      </w:r>
    </w:p>
    <w:p w14:paraId="78BDAAB9" w14:textId="77777777" w:rsidR="00C60F57" w:rsidRDefault="00C60F57">
      <w:pPr>
        <w:pStyle w:val="Geenafstand"/>
        <w:numPr>
          <w:ilvl w:val="0"/>
          <w:numId w:val="26"/>
        </w:numPr>
      </w:pPr>
      <w:r>
        <w:t>Stimulate simplifications and representations of the problem</w:t>
      </w:r>
    </w:p>
    <w:p w14:paraId="1F4B695B" w14:textId="77777777" w:rsidR="00C60F57" w:rsidRDefault="00C60F57">
      <w:pPr>
        <w:pStyle w:val="Geenafstand"/>
        <w:numPr>
          <w:ilvl w:val="0"/>
          <w:numId w:val="26"/>
        </w:numPr>
      </w:pPr>
      <w:r>
        <w:t>Review the representations students use</w:t>
      </w:r>
    </w:p>
    <w:p w14:paraId="2B157C23" w14:textId="773C337E" w:rsidR="00C60F57" w:rsidRDefault="00C60F57">
      <w:pPr>
        <w:pStyle w:val="Geenafstand"/>
        <w:numPr>
          <w:ilvl w:val="0"/>
          <w:numId w:val="26"/>
        </w:numPr>
      </w:pPr>
      <w:r>
        <w:t>Let students further analyze and solve the problem</w:t>
      </w:r>
      <w:r w:rsidR="00D476BD">
        <w:t>(</w:t>
      </w:r>
      <w:r>
        <w:t>s</w:t>
      </w:r>
      <w:r w:rsidR="00D476BD">
        <w:t>)</w:t>
      </w:r>
    </w:p>
    <w:p w14:paraId="72480767" w14:textId="4C07285D" w:rsidR="00C60F57" w:rsidRDefault="00C60F57">
      <w:pPr>
        <w:pStyle w:val="Geenafstand"/>
        <w:numPr>
          <w:ilvl w:val="0"/>
          <w:numId w:val="26"/>
        </w:numPr>
      </w:pPr>
      <w:r>
        <w:t>S</w:t>
      </w:r>
      <w:r w:rsidR="00D476BD">
        <w:t>timulate s</w:t>
      </w:r>
      <w:r>
        <w:t xml:space="preserve">tudents </w:t>
      </w:r>
      <w:r w:rsidR="00D476BD">
        <w:t xml:space="preserve">to </w:t>
      </w:r>
      <w:r>
        <w:t>communicate and reflect on their different approaches</w:t>
      </w:r>
    </w:p>
    <w:p w14:paraId="5050FF91" w14:textId="77777777" w:rsidR="00C60F57" w:rsidRDefault="00C60F57">
      <w:pPr>
        <w:pStyle w:val="Geenafstand"/>
        <w:numPr>
          <w:ilvl w:val="0"/>
          <w:numId w:val="26"/>
        </w:numPr>
      </w:pPr>
      <w:r>
        <w:t>Review the processes that students have been through</w:t>
      </w:r>
    </w:p>
    <w:p w14:paraId="4E692EF9" w14:textId="74EA3654" w:rsidR="00C60F57" w:rsidRDefault="00DF0461" w:rsidP="00FC6108">
      <w:pPr>
        <w:pStyle w:val="Kop3"/>
        <w:numPr>
          <w:ilvl w:val="0"/>
          <w:numId w:val="39"/>
        </w:numPr>
      </w:pPr>
      <w:r>
        <w:t>Ta</w:t>
      </w:r>
      <w:r w:rsidR="00C82095">
        <w:t>s</w:t>
      </w:r>
      <w:r>
        <w:t>ks s</w:t>
      </w:r>
      <w:r w:rsidR="000E3851">
        <w:t>timulat</w:t>
      </w:r>
      <w:r>
        <w:t>e</w:t>
      </w:r>
      <w:r w:rsidR="00C60F57">
        <w:t xml:space="preserve"> collaboration and communication</w:t>
      </w:r>
    </w:p>
    <w:p w14:paraId="6B463874" w14:textId="40EEB2E6" w:rsidR="008B6520" w:rsidRDefault="00C60F57" w:rsidP="008B6520">
      <w:pPr>
        <w:pStyle w:val="Geenafstand"/>
      </w:pPr>
      <w:r>
        <w:t xml:space="preserve">In IBST the tasks stimulate collaborative work and ask for answers, solutions or products that are communicated with others through, for instance, reports, presentations or posters. </w:t>
      </w:r>
      <w:r w:rsidR="00AC7E0F">
        <w:t xml:space="preserve">These products </w:t>
      </w:r>
      <w:r w:rsidR="00FE7D86">
        <w:t>also enhance the connection to the World of Work</w:t>
      </w:r>
      <w:r w:rsidR="00DF0461">
        <w:t xml:space="preserve"> </w:t>
      </w:r>
      <w:r w:rsidR="00FE7D86">
        <w:t xml:space="preserve">(see </w:t>
      </w:r>
      <w:r w:rsidR="00C82095">
        <w:t xml:space="preserve">fourth </w:t>
      </w:r>
      <w:r w:rsidR="00FE7D86">
        <w:t xml:space="preserve">characteristic in next section). </w:t>
      </w:r>
      <w:r w:rsidR="006F531D">
        <w:t>For such products it is important that students are</w:t>
      </w:r>
      <w:r>
        <w:t xml:space="preserve"> aware </w:t>
      </w:r>
      <w:r w:rsidR="006F531D">
        <w:t>of the</w:t>
      </w:r>
      <w:r>
        <w:t xml:space="preserve"> </w:t>
      </w:r>
      <w:r w:rsidR="00863E20">
        <w:t xml:space="preserve">inquiry-related </w:t>
      </w:r>
      <w:r>
        <w:t xml:space="preserve">goals </w:t>
      </w:r>
      <w:r w:rsidR="00421152">
        <w:t xml:space="preserve">of </w:t>
      </w:r>
      <w:r>
        <w:t xml:space="preserve">the </w:t>
      </w:r>
      <w:r w:rsidR="00421152">
        <w:t xml:space="preserve">task in a </w:t>
      </w:r>
      <w:r w:rsidR="00421152">
        <w:lastRenderedPageBreak/>
        <w:t>mathematics or science classroom</w:t>
      </w:r>
      <w:r>
        <w:t xml:space="preserve"> </w:t>
      </w:r>
      <w:r w:rsidR="006F531D">
        <w:t xml:space="preserve">(e.g. </w:t>
      </w:r>
      <w:r>
        <w:t xml:space="preserve">to become more able to </w:t>
      </w:r>
      <w:r w:rsidR="00863E20">
        <w:t>explore</w:t>
      </w:r>
      <w:r w:rsidR="006F531D">
        <w:t>,</w:t>
      </w:r>
      <w:r>
        <w:t xml:space="preserve"> </w:t>
      </w:r>
      <w:r w:rsidR="00863E20">
        <w:t>plan</w:t>
      </w:r>
      <w:r>
        <w:t xml:space="preserve">, </w:t>
      </w:r>
      <w:r w:rsidR="00863E20">
        <w:t>experiment</w:t>
      </w:r>
      <w:r w:rsidR="006F531D">
        <w:t>,</w:t>
      </w:r>
      <w:r>
        <w:t xml:space="preserve"> evaluate, co</w:t>
      </w:r>
      <w:r w:rsidR="00863E20">
        <w:t>llabor</w:t>
      </w:r>
      <w:r>
        <w:t>ate</w:t>
      </w:r>
      <w:r w:rsidR="00863E20">
        <w:t>, …</w:t>
      </w:r>
      <w:r w:rsidR="006F531D">
        <w:t>)</w:t>
      </w:r>
      <w:r>
        <w:t>.</w:t>
      </w:r>
      <w:r w:rsidR="006F531D">
        <w:t xml:space="preserve"> </w:t>
      </w:r>
      <w:r w:rsidR="00BD799F">
        <w:t>These</w:t>
      </w:r>
      <w:r w:rsidR="006F531D">
        <w:t xml:space="preserve"> goals can be communicated in advance or through organizing (peer)</w:t>
      </w:r>
      <w:r w:rsidR="00641B28">
        <w:t xml:space="preserve"> </w:t>
      </w:r>
      <w:r w:rsidR="006F531D">
        <w:t>feedback</w:t>
      </w:r>
      <w:r w:rsidR="00863E20">
        <w:t xml:space="preserve"> on products or presentations</w:t>
      </w:r>
      <w:r w:rsidR="00C82095">
        <w:t>; f</w:t>
      </w:r>
      <w:r w:rsidR="00BD799F">
        <w:t>or</w:t>
      </w:r>
      <w:r w:rsidR="00863E20">
        <w:t xml:space="preserve"> </w:t>
      </w:r>
      <w:r w:rsidR="00BD799F">
        <w:t>exampl</w:t>
      </w:r>
      <w:r w:rsidR="006F531D">
        <w:t>e</w:t>
      </w:r>
      <w:r>
        <w:t xml:space="preserve"> </w:t>
      </w:r>
      <w:r w:rsidR="006F531D">
        <w:t xml:space="preserve">by </w:t>
      </w:r>
      <w:r>
        <w:t>present</w:t>
      </w:r>
      <w:r w:rsidR="006F531D">
        <w:t>ing</w:t>
      </w:r>
      <w:r>
        <w:t xml:space="preserve"> </w:t>
      </w:r>
      <w:r w:rsidR="00BD799F">
        <w:t>and discussing</w:t>
      </w:r>
      <w:r>
        <w:t xml:space="preserve"> </w:t>
      </w:r>
      <w:r w:rsidR="00C82095">
        <w:t>well-</w:t>
      </w:r>
      <w:r>
        <w:t xml:space="preserve">prepared sample </w:t>
      </w:r>
      <w:r w:rsidR="00BD799F">
        <w:t>work</w:t>
      </w:r>
      <w:r>
        <w:t xml:space="preserve"> from other students</w:t>
      </w:r>
      <w:r w:rsidR="00BD799F">
        <w:t xml:space="preserve"> or by a</w:t>
      </w:r>
      <w:r>
        <w:t>sking students to assess each other’s work</w:t>
      </w:r>
      <w:r w:rsidR="00863E20">
        <w:t xml:space="preserve"> to identify, make explicit and use inquiry-related criteria for evaluation</w:t>
      </w:r>
      <w:r>
        <w:t xml:space="preserve">. </w:t>
      </w:r>
    </w:p>
    <w:p w14:paraId="63088377" w14:textId="0C36F75B" w:rsidR="00C60F57" w:rsidRDefault="00C60F57">
      <w:pPr>
        <w:pStyle w:val="Kop2"/>
      </w:pPr>
      <w:bookmarkStart w:id="8" w:name="_Toc389464915"/>
      <w:r>
        <w:t xml:space="preserve">Characteristics of </w:t>
      </w:r>
      <w:r w:rsidR="00FE7D86">
        <w:t xml:space="preserve">tasks </w:t>
      </w:r>
      <w:r>
        <w:t>that connect to the World of Work</w:t>
      </w:r>
      <w:bookmarkEnd w:id="8"/>
    </w:p>
    <w:p w14:paraId="58A8567A" w14:textId="2051EBD0" w:rsidR="00C60F57" w:rsidRPr="006A07C6" w:rsidRDefault="00C60F57">
      <w:pPr>
        <w:pStyle w:val="Geenafstand"/>
      </w:pPr>
      <w:r>
        <w:t xml:space="preserve">Tasks </w:t>
      </w:r>
      <w:r w:rsidR="00D9085D">
        <w:t xml:space="preserve">that fit the aims of </w:t>
      </w:r>
      <w:r w:rsidR="00FE4F96">
        <w:rPr>
          <w:i/>
        </w:rPr>
        <w:t>m</w:t>
      </w:r>
      <w:r w:rsidR="00FE4F96" w:rsidRPr="00FE4F96">
        <w:rPr>
          <w:i/>
        </w:rPr>
        <w:t>ascil</w:t>
      </w:r>
      <w:r w:rsidRPr="006A07C6">
        <w:t xml:space="preserve"> </w:t>
      </w:r>
      <w:r w:rsidR="00D9085D" w:rsidRPr="006A07C6">
        <w:t xml:space="preserve">are tasks that </w:t>
      </w:r>
      <w:r w:rsidR="00DF0461">
        <w:t xml:space="preserve">(i) </w:t>
      </w:r>
      <w:r w:rsidR="001B131E" w:rsidRPr="006A07C6">
        <w:t xml:space="preserve">connect to curricular </w:t>
      </w:r>
      <w:r w:rsidR="009C276B">
        <w:t>content</w:t>
      </w:r>
      <w:r w:rsidR="00C82095">
        <w:t xml:space="preserve"> </w:t>
      </w:r>
      <w:r w:rsidR="001B131E" w:rsidRPr="006A07C6">
        <w:t>goals</w:t>
      </w:r>
      <w:r w:rsidR="00D9085D" w:rsidRPr="006A07C6">
        <w:t xml:space="preserve">, </w:t>
      </w:r>
      <w:r w:rsidR="00DF0461">
        <w:t xml:space="preserve">(ii) </w:t>
      </w:r>
      <w:r w:rsidR="00D9085D" w:rsidRPr="006A07C6">
        <w:t>support IBL</w:t>
      </w:r>
      <w:r w:rsidR="001B131E" w:rsidRPr="006A07C6">
        <w:t xml:space="preserve"> and </w:t>
      </w:r>
      <w:r w:rsidR="00DF0461">
        <w:t xml:space="preserve">(iii) </w:t>
      </w:r>
      <w:r w:rsidRPr="006A07C6">
        <w:t xml:space="preserve">are set in rich vocational contexts. The </w:t>
      </w:r>
      <w:r w:rsidR="00D9085D" w:rsidRPr="006A07C6">
        <w:t xml:space="preserve">connection to the World of Work is ensured by the following characteristic: </w:t>
      </w:r>
      <w:r w:rsidRPr="006A07C6">
        <w:t xml:space="preserve">students are given a professional role, </w:t>
      </w:r>
      <w:r w:rsidR="00183B9E">
        <w:t>as</w:t>
      </w:r>
      <w:r w:rsidRPr="006A07C6">
        <w:t xml:space="preserve"> 'workers' in a workplace, and they perform activities that are similar to activities actually done by workers. These activities have a clear purpose and reveal how mathematics and science are used in work settings. A product for an audience is the result. </w:t>
      </w:r>
      <w:r w:rsidR="00D9085D" w:rsidRPr="006A07C6">
        <w:t>These c</w:t>
      </w:r>
      <w:r w:rsidRPr="006A07C6">
        <w:t>haracteristics, that also guide the</w:t>
      </w:r>
      <w:r w:rsidR="00D9085D" w:rsidRPr="006A07C6">
        <w:t xml:space="preserve"> design process, are illustrated below in more detail</w:t>
      </w:r>
      <w:r w:rsidRPr="006A07C6">
        <w:t xml:space="preserve">. </w:t>
      </w:r>
    </w:p>
    <w:p w14:paraId="4D0A75E3" w14:textId="77777777" w:rsidR="00C60F57" w:rsidRPr="006A07C6" w:rsidRDefault="00C60F57" w:rsidP="00FC6108">
      <w:pPr>
        <w:pStyle w:val="Kop3"/>
        <w:numPr>
          <w:ilvl w:val="0"/>
          <w:numId w:val="40"/>
        </w:numPr>
        <w:rPr>
          <w:lang w:val="en-US"/>
        </w:rPr>
      </w:pPr>
      <w:r w:rsidRPr="006A07C6">
        <w:rPr>
          <w:lang w:val="en-US"/>
        </w:rPr>
        <w:t>Rich vocational contexts</w:t>
      </w:r>
    </w:p>
    <w:p w14:paraId="25597110" w14:textId="46F9570C" w:rsidR="00C60F57" w:rsidRDefault="00C60F57" w:rsidP="0058750C">
      <w:pPr>
        <w:rPr>
          <w:lang w:val="en-US"/>
        </w:rPr>
      </w:pPr>
      <w:r w:rsidRPr="006A07C6">
        <w:rPr>
          <w:lang w:val="en-US"/>
        </w:rPr>
        <w:t>Rich vocational contexts</w:t>
      </w:r>
      <w:r w:rsidRPr="006A07C6">
        <w:t xml:space="preserve"> give students insights into the usefulness </w:t>
      </w:r>
      <w:r w:rsidR="00BF2D47" w:rsidRPr="006A07C6">
        <w:t xml:space="preserve">(purpose and utility) </w:t>
      </w:r>
      <w:r w:rsidRPr="006A07C6">
        <w:t>of mathematics and science</w:t>
      </w:r>
      <w:r>
        <w:t xml:space="preserve"> in the </w:t>
      </w:r>
      <w:r w:rsidR="006121E9">
        <w:t>WoW</w:t>
      </w:r>
      <w:r>
        <w:t xml:space="preserve">. The mathematics or science in the task should </w:t>
      </w:r>
      <w:r w:rsidR="00BF2D47">
        <w:t xml:space="preserve">of course </w:t>
      </w:r>
      <w:r>
        <w:t>also fit your curricul</w:t>
      </w:r>
      <w:r w:rsidR="00BF2D47">
        <w:t>ar</w:t>
      </w:r>
      <w:r>
        <w:t xml:space="preserve"> goals. To find suitable rich vocational contexts several action</w:t>
      </w:r>
      <w:r w:rsidR="00BF2D47">
        <w:t>s</w:t>
      </w:r>
      <w:r>
        <w:t xml:space="preserve"> can be undertaken. Before you start you may orient yourself by:</w:t>
      </w:r>
    </w:p>
    <w:p w14:paraId="7353465B" w14:textId="0773EAF6" w:rsidR="00C60F57" w:rsidRDefault="00C60F57">
      <w:pPr>
        <w:pStyle w:val="Lijstalinea"/>
        <w:numPr>
          <w:ilvl w:val="0"/>
          <w:numId w:val="22"/>
        </w:numPr>
        <w:rPr>
          <w:b/>
        </w:rPr>
      </w:pPr>
      <w:r>
        <w:t xml:space="preserve">Asking your students what types of </w:t>
      </w:r>
      <w:r w:rsidR="003D087C">
        <w:t xml:space="preserve">profession </w:t>
      </w:r>
      <w:r>
        <w:t xml:space="preserve">they are interested in; </w:t>
      </w:r>
    </w:p>
    <w:p w14:paraId="5CBEFF34" w14:textId="77777777" w:rsidR="00C60F57" w:rsidRDefault="00C60F57">
      <w:pPr>
        <w:pStyle w:val="Lijstalinea"/>
        <w:numPr>
          <w:ilvl w:val="0"/>
          <w:numId w:val="22"/>
        </w:numPr>
        <w:rPr>
          <w:b/>
        </w:rPr>
      </w:pPr>
      <w:r>
        <w:t>Finding out if any contexts related to the WoW are already used in your teaching materials;</w:t>
      </w:r>
    </w:p>
    <w:p w14:paraId="26514855" w14:textId="01D03E44" w:rsidR="00C60F57" w:rsidRDefault="00C60F57">
      <w:pPr>
        <w:pStyle w:val="Lijstalinea"/>
        <w:numPr>
          <w:ilvl w:val="0"/>
          <w:numId w:val="22"/>
        </w:numPr>
        <w:rPr>
          <w:b/>
        </w:rPr>
      </w:pPr>
      <w:r>
        <w:t>Using th</w:t>
      </w:r>
      <w:r w:rsidR="00267F2B">
        <w:t xml:space="preserve">e </w:t>
      </w:r>
      <w:r w:rsidR="0094788C">
        <w:rPr>
          <w:i/>
        </w:rPr>
        <w:t>m</w:t>
      </w:r>
      <w:r w:rsidR="0094788C" w:rsidRPr="00FE4F96">
        <w:rPr>
          <w:i/>
        </w:rPr>
        <w:t>ascil</w:t>
      </w:r>
      <w:r w:rsidR="00C82095">
        <w:t xml:space="preserve"> </w:t>
      </w:r>
      <w:r w:rsidR="00267F2B">
        <w:t>framework (</w:t>
      </w:r>
      <w:r w:rsidR="00641B28">
        <w:t xml:space="preserve">Figure </w:t>
      </w:r>
      <w:r w:rsidR="00267F2B">
        <w:t>1 and 2</w:t>
      </w:r>
      <w:r>
        <w:t>) to get a better unde</w:t>
      </w:r>
      <w:r w:rsidR="00BF2D47">
        <w:t xml:space="preserve">rstanding about the dimensions of </w:t>
      </w:r>
      <w:r>
        <w:t>both IBL and WoW.</w:t>
      </w:r>
    </w:p>
    <w:p w14:paraId="1750A193" w14:textId="1E49D8D1" w:rsidR="00C60F57" w:rsidRDefault="00C60F57">
      <w:r>
        <w:t>To find out in what ways mathematics and science are used in workplaces</w:t>
      </w:r>
      <w:r w:rsidR="00C82095">
        <w:t>,</w:t>
      </w:r>
      <w:r>
        <w:t xml:space="preserve"> you may want to:</w:t>
      </w:r>
    </w:p>
    <w:p w14:paraId="0B533CD4" w14:textId="77777777" w:rsidR="00C60F57" w:rsidRDefault="00C60F57">
      <w:pPr>
        <w:pStyle w:val="Lijstalinea"/>
        <w:numPr>
          <w:ilvl w:val="0"/>
          <w:numId w:val="15"/>
        </w:numPr>
        <w:rPr>
          <w:b/>
        </w:rPr>
      </w:pPr>
      <w:r>
        <w:t>Talk to professionals in your personal network</w:t>
      </w:r>
    </w:p>
    <w:p w14:paraId="13513BE1" w14:textId="7FDC9D26" w:rsidR="00C60F57" w:rsidRDefault="00C60F57">
      <w:pPr>
        <w:pStyle w:val="Lijstalinea"/>
        <w:numPr>
          <w:ilvl w:val="0"/>
          <w:numId w:val="15"/>
        </w:numPr>
        <w:rPr>
          <w:b/>
        </w:rPr>
      </w:pPr>
      <w:r>
        <w:t>Talk to or visit a vocational teacher</w:t>
      </w:r>
      <w:r w:rsidR="00BF2D47">
        <w:t xml:space="preserve"> at your school or in your region</w:t>
      </w:r>
    </w:p>
    <w:p w14:paraId="2E72D652" w14:textId="77777777" w:rsidR="00C60F57" w:rsidRDefault="00C60F57">
      <w:pPr>
        <w:pStyle w:val="Lijstalinea"/>
        <w:numPr>
          <w:ilvl w:val="0"/>
          <w:numId w:val="15"/>
        </w:numPr>
        <w:rPr>
          <w:b/>
        </w:rPr>
      </w:pPr>
      <w:r>
        <w:t>Read journals for professionals</w:t>
      </w:r>
    </w:p>
    <w:p w14:paraId="0694C862" w14:textId="77777777" w:rsidR="00C60F57" w:rsidRDefault="00C60F57">
      <w:pPr>
        <w:pStyle w:val="Lijstalinea"/>
        <w:numPr>
          <w:ilvl w:val="0"/>
          <w:numId w:val="15"/>
        </w:numPr>
        <w:rPr>
          <w:b/>
        </w:rPr>
      </w:pPr>
      <w:r>
        <w:t>Visit websites of companies and look for educational materials</w:t>
      </w:r>
    </w:p>
    <w:p w14:paraId="14D7FABF" w14:textId="77777777" w:rsidR="00C60F57" w:rsidRDefault="00C60F57">
      <w:pPr>
        <w:pStyle w:val="Lijstalinea"/>
        <w:numPr>
          <w:ilvl w:val="0"/>
          <w:numId w:val="15"/>
        </w:numPr>
        <w:rPr>
          <w:b/>
        </w:rPr>
      </w:pPr>
      <w:r>
        <w:t>Visit a specific workplace</w:t>
      </w:r>
    </w:p>
    <w:p w14:paraId="3CBB2C22" w14:textId="77777777" w:rsidR="00C60F57" w:rsidRDefault="00C60F57">
      <w:pPr>
        <w:pStyle w:val="Kop3"/>
      </w:pPr>
    </w:p>
    <w:p w14:paraId="7398D769" w14:textId="33D94968" w:rsidR="00C60F57" w:rsidRDefault="00C60F57">
      <w:r>
        <w:t>Once you have found a suitable context and identified authentic practices to use</w:t>
      </w:r>
      <w:r w:rsidR="00C82095">
        <w:t>,</w:t>
      </w:r>
      <w:r>
        <w:t xml:space="preserve"> you can start to (re)design teaching materials. </w:t>
      </w:r>
      <w:r w:rsidR="009C276B">
        <w:t xml:space="preserve">This is a cyclic process in which context, underlying content knowledge and possible student activities influence each other. </w:t>
      </w:r>
      <w:r>
        <w:t xml:space="preserve">You may want to: </w:t>
      </w:r>
    </w:p>
    <w:p w14:paraId="498CC6CA" w14:textId="4524816A" w:rsidR="00C60F57" w:rsidRDefault="00C60F57">
      <w:pPr>
        <w:pStyle w:val="Lijstalinea"/>
        <w:numPr>
          <w:ilvl w:val="0"/>
          <w:numId w:val="16"/>
        </w:numPr>
      </w:pPr>
      <w:r>
        <w:t>Provide students with the opportunity to explore the professional context of the task: what are typical activities, tools, data, language outcomes, products, problems of this workplace? This may be done e.g. by showing</w:t>
      </w:r>
      <w:r w:rsidR="00C82095">
        <w:t xml:space="preserve"> </w:t>
      </w:r>
      <w:r w:rsidR="003D087C">
        <w:t>as part of the task</w:t>
      </w:r>
      <w:r w:rsidR="00C82095">
        <w:t xml:space="preserve"> </w:t>
      </w:r>
      <w:r>
        <w:t>a video or photos</w:t>
      </w:r>
      <w:r w:rsidR="009C276B">
        <w:t xml:space="preserve"> or artefacts from the workplace,</w:t>
      </w:r>
      <w:r>
        <w:t xml:space="preserve"> </w:t>
      </w:r>
      <w:r w:rsidR="00B97D51">
        <w:t xml:space="preserve">inviting </w:t>
      </w:r>
      <w:r>
        <w:t xml:space="preserve">professionals to the classroom, </w:t>
      </w:r>
      <w:r w:rsidR="00B97D51">
        <w:t xml:space="preserve">having </w:t>
      </w:r>
      <w:r>
        <w:t xml:space="preserve">students visit a workplace or a website of a company; </w:t>
      </w:r>
    </w:p>
    <w:p w14:paraId="38B2FFBC" w14:textId="77777777" w:rsidR="00C60F57" w:rsidRDefault="00C60F57">
      <w:pPr>
        <w:pStyle w:val="Lijstalinea"/>
        <w:numPr>
          <w:ilvl w:val="0"/>
          <w:numId w:val="16"/>
        </w:numPr>
      </w:pPr>
      <w:r>
        <w:t>Use the activities from the authentic practice (and the related mathematical and scientific concepts) as a starting point and as the backbone for the design;</w:t>
      </w:r>
    </w:p>
    <w:p w14:paraId="4609ACA8" w14:textId="77777777" w:rsidR="00C60F57" w:rsidRDefault="00C60F57">
      <w:pPr>
        <w:pStyle w:val="Lijstalinea"/>
        <w:numPr>
          <w:ilvl w:val="0"/>
          <w:numId w:val="16"/>
        </w:numPr>
        <w:rPr>
          <w:b/>
        </w:rPr>
      </w:pPr>
      <w:r>
        <w:lastRenderedPageBreak/>
        <w:t xml:space="preserve">Use artefacts and tools from the workplace in the design; </w:t>
      </w:r>
    </w:p>
    <w:p w14:paraId="7C318F4E" w14:textId="2485A5F0" w:rsidR="00C60F57" w:rsidRDefault="00C60F57">
      <w:pPr>
        <w:pStyle w:val="Lijstalinea"/>
        <w:numPr>
          <w:ilvl w:val="0"/>
          <w:numId w:val="16"/>
        </w:numPr>
        <w:rPr>
          <w:b/>
        </w:rPr>
      </w:pPr>
      <w:r>
        <w:t>Make adaptations (e.g. simplify, model, build in scaffolds) to make the authentic practice accessible for students. Beware of losing coherence and authenticity when re-contextualising, it may lead to contrived instead of authentic activities.</w:t>
      </w:r>
    </w:p>
    <w:p w14:paraId="1453A138" w14:textId="6B721F2F" w:rsidR="00C60F57" w:rsidRDefault="00FC6108" w:rsidP="00FC6108">
      <w:pPr>
        <w:pStyle w:val="Kop3"/>
        <w:numPr>
          <w:ilvl w:val="0"/>
          <w:numId w:val="40"/>
        </w:numPr>
      </w:pPr>
      <w:r>
        <w:t>Giving students a p</w:t>
      </w:r>
      <w:r w:rsidR="00C60F57">
        <w:t xml:space="preserve">rofessional role </w:t>
      </w:r>
    </w:p>
    <w:p w14:paraId="675C9AD0" w14:textId="6680714E" w:rsidR="00C60F57" w:rsidRDefault="00C60F57">
      <w:r>
        <w:t>In the teaching materials</w:t>
      </w:r>
      <w:r w:rsidR="00C82095">
        <w:t>,</w:t>
      </w:r>
      <w:r>
        <w:t xml:space="preserve"> try to give students a professional role that fits the context of the task</w:t>
      </w:r>
      <w:r w:rsidR="00B97D51">
        <w:t>, n</w:t>
      </w:r>
      <w:r>
        <w:t>ot only to ensure engagement with the task, but also to have students experience the purpose of the activities they perform.</w:t>
      </w:r>
    </w:p>
    <w:p w14:paraId="66AC039D" w14:textId="5D1973A4" w:rsidR="00C60F57" w:rsidRDefault="00C60F57">
      <w:pPr>
        <w:pStyle w:val="Lijstalinea"/>
        <w:numPr>
          <w:ilvl w:val="0"/>
          <w:numId w:val="20"/>
        </w:numPr>
      </w:pPr>
      <w:r>
        <w:t xml:space="preserve">This role can be very specific </w:t>
      </w:r>
      <w:r w:rsidR="00A341D5">
        <w:t>(</w:t>
      </w:r>
      <w:r>
        <w:t>e.g</w:t>
      </w:r>
      <w:r w:rsidR="00B97D51">
        <w:t>.</w:t>
      </w:r>
      <w:r>
        <w:t xml:space="preserve"> an architect</w:t>
      </w:r>
      <w:r w:rsidR="00A341D5">
        <w:t>)</w:t>
      </w:r>
      <w:r>
        <w:t xml:space="preserve"> or more general </w:t>
      </w:r>
      <w:r w:rsidR="00A341D5">
        <w:t>(</w:t>
      </w:r>
      <w:r>
        <w:t>e.g</w:t>
      </w:r>
      <w:r w:rsidR="00B97D51">
        <w:t>.</w:t>
      </w:r>
      <w:r>
        <w:t xml:space="preserve"> a scientist</w:t>
      </w:r>
      <w:r w:rsidR="00A341D5">
        <w:t>)</w:t>
      </w:r>
      <w:r>
        <w:t xml:space="preserve">. A job description, the workplace setting or a specification of the work to be done, may be </w:t>
      </w:r>
      <w:r w:rsidR="00DF2DCD">
        <w:t>described</w:t>
      </w:r>
      <w:r>
        <w:t xml:space="preserve"> in the task.</w:t>
      </w:r>
    </w:p>
    <w:p w14:paraId="70138702" w14:textId="1311F0F9" w:rsidR="00C60F57" w:rsidRDefault="00C60F57">
      <w:pPr>
        <w:pStyle w:val="Lijstalinea"/>
        <w:numPr>
          <w:ilvl w:val="0"/>
          <w:numId w:val="20"/>
        </w:numPr>
      </w:pPr>
      <w:r>
        <w:t xml:space="preserve">You may want to have </w:t>
      </w:r>
      <w:r w:rsidR="009C276B">
        <w:t xml:space="preserve">the ways student work on the </w:t>
      </w:r>
      <w:r w:rsidR="00B97D51">
        <w:t xml:space="preserve">task </w:t>
      </w:r>
      <w:r>
        <w:t>reflect the ways of working of professionals e.g</w:t>
      </w:r>
      <w:r w:rsidR="00B97D51">
        <w:t>.</w:t>
      </w:r>
      <w:r>
        <w:t xml:space="preserve"> working in teams</w:t>
      </w:r>
      <w:r w:rsidR="00BF2D47">
        <w:rPr>
          <w:rStyle w:val="Voetnootmarkering"/>
        </w:rPr>
        <w:footnoteReference w:id="4"/>
      </w:r>
      <w:r>
        <w:t xml:space="preserve">, division </w:t>
      </w:r>
      <w:r w:rsidR="009C276B">
        <w:t xml:space="preserve">of </w:t>
      </w:r>
      <w:r>
        <w:t>labour, working within constraints, using authentic artefacts like tools, instruments and data.</w:t>
      </w:r>
    </w:p>
    <w:p w14:paraId="382F43EC" w14:textId="57A13B74" w:rsidR="00C60F57" w:rsidRDefault="00C60F57">
      <w:pPr>
        <w:pStyle w:val="Lijstalinea"/>
        <w:numPr>
          <w:ilvl w:val="0"/>
          <w:numId w:val="20"/>
        </w:numPr>
      </w:pPr>
      <w:r>
        <w:t xml:space="preserve">Note: </w:t>
      </w:r>
      <w:r w:rsidR="00495C9D">
        <w:t xml:space="preserve">Make the professional role as concrete </w:t>
      </w:r>
      <w:r w:rsidR="003D087C">
        <w:t xml:space="preserve">and specific </w:t>
      </w:r>
      <w:r w:rsidR="00495C9D">
        <w:t xml:space="preserve">as possible. </w:t>
      </w:r>
      <w:r w:rsidR="00DB63F9">
        <w:t>For example, i</w:t>
      </w:r>
      <w:r>
        <w:t xml:space="preserve">f an activity fulfils all requirements of inquiry learning, we could argue that the role of researcher is prominent in this activity. This is a professional role and so the relation to WoW seems to be strong. For students however this relation may </w:t>
      </w:r>
      <w:r w:rsidR="00495C9D">
        <w:t xml:space="preserve">not </w:t>
      </w:r>
      <w:r>
        <w:t>be as clear as we think. The professional role in this case is often not a specific type of researcher. The same is true for ‘engineer’ in a design activity. In the teaching materials you may therefore decide to provide students with background materials and resources about this profession.</w:t>
      </w:r>
    </w:p>
    <w:p w14:paraId="084D99AB" w14:textId="363BA747" w:rsidR="00C60F57" w:rsidRDefault="003D087C" w:rsidP="00FC6108">
      <w:pPr>
        <w:pStyle w:val="Kop3"/>
        <w:numPr>
          <w:ilvl w:val="0"/>
          <w:numId w:val="40"/>
        </w:numPr>
      </w:pPr>
      <w:r>
        <w:t xml:space="preserve">Have students perform workplace </w:t>
      </w:r>
      <w:r w:rsidR="00FC6108">
        <w:t>a</w:t>
      </w:r>
      <w:r w:rsidR="00C60F57">
        <w:t>ctivities</w:t>
      </w:r>
      <w:r>
        <w:t xml:space="preserve"> </w:t>
      </w:r>
    </w:p>
    <w:p w14:paraId="240CDBF0" w14:textId="7224AE1A" w:rsidR="00C60F57" w:rsidRDefault="00C60F57">
      <w:r>
        <w:t xml:space="preserve">Your task may contain several activities that students need to carry out. When </w:t>
      </w:r>
      <w:r w:rsidR="009C276B">
        <w:t xml:space="preserve">designing </w:t>
      </w:r>
      <w:r>
        <w:t>these activities consider the following:</w:t>
      </w:r>
    </w:p>
    <w:p w14:paraId="1C5E3D1D" w14:textId="77777777" w:rsidR="00C60F57" w:rsidRDefault="00C60F57">
      <w:pPr>
        <w:pStyle w:val="Lijstalinea"/>
        <w:numPr>
          <w:ilvl w:val="0"/>
          <w:numId w:val="19"/>
        </w:numPr>
      </w:pPr>
      <w:r>
        <w:t xml:space="preserve">Make solving an authentic workplace problem, using </w:t>
      </w:r>
      <w:r>
        <w:rPr>
          <w:i/>
        </w:rPr>
        <w:t>known</w:t>
      </w:r>
      <w:r>
        <w:t xml:space="preserve"> concepts, skills and procedures from mathematics and science, the central activity in the design. All the other activities need to have a purpose with respect to this central problem;</w:t>
      </w:r>
    </w:p>
    <w:p w14:paraId="665B3A7B" w14:textId="77777777" w:rsidR="00C60F57" w:rsidRDefault="00C60F57">
      <w:pPr>
        <w:pStyle w:val="Lijstalinea"/>
        <w:numPr>
          <w:ilvl w:val="0"/>
          <w:numId w:val="19"/>
        </w:numPr>
      </w:pPr>
      <w:r>
        <w:t xml:space="preserve">Have student activities be similar to (or analogies of) actions, processes or procedures used in workplaces. Some simplification or scaffolding may be needed, but beware of losing authenticity and the open, inquiry based character of the task. </w:t>
      </w:r>
    </w:p>
    <w:p w14:paraId="54DF5C52" w14:textId="77777777" w:rsidR="00C60F57" w:rsidRDefault="00C60F57">
      <w:pPr>
        <w:pStyle w:val="Lijstalinea"/>
        <w:numPr>
          <w:ilvl w:val="0"/>
          <w:numId w:val="19"/>
        </w:numPr>
      </w:pPr>
      <w:r>
        <w:t xml:space="preserve">Make sure that the activities fit the context and the role. </w:t>
      </w:r>
    </w:p>
    <w:p w14:paraId="17E59540" w14:textId="77777777" w:rsidR="00C60F57" w:rsidRDefault="00C60F57">
      <w:pPr>
        <w:pStyle w:val="Lijstalinea"/>
        <w:numPr>
          <w:ilvl w:val="0"/>
          <w:numId w:val="19"/>
        </w:numPr>
      </w:pPr>
      <w:r>
        <w:t xml:space="preserve">Use workplace language where possible and connect this to the disciplinary language; </w:t>
      </w:r>
    </w:p>
    <w:p w14:paraId="5D9B7B76" w14:textId="0437FCEE" w:rsidR="00C60F57" w:rsidRDefault="00C60F57">
      <w:pPr>
        <w:pStyle w:val="Lijstalinea"/>
        <w:numPr>
          <w:ilvl w:val="0"/>
          <w:numId w:val="19"/>
        </w:numPr>
      </w:pPr>
      <w:r>
        <w:t>Present activities in such a way that they provide students with valuable opportunities to use knowledge of mathematics and science in the way it is applied in professional settings. You may use authentic artefacts like research briefs, memos, schemes or task descriptions to present the activities in an authentic way</w:t>
      </w:r>
      <w:r w:rsidR="00367817">
        <w:t>.</w:t>
      </w:r>
    </w:p>
    <w:p w14:paraId="30DC3516" w14:textId="298D2663" w:rsidR="00C60F57" w:rsidRDefault="00700FB8" w:rsidP="00FC6108">
      <w:pPr>
        <w:pStyle w:val="Kop3"/>
        <w:numPr>
          <w:ilvl w:val="0"/>
          <w:numId w:val="40"/>
        </w:numPr>
      </w:pPr>
      <w:r>
        <w:lastRenderedPageBreak/>
        <w:t>Targeting</w:t>
      </w:r>
      <w:r w:rsidR="00FC6108">
        <w:t xml:space="preserve"> p</w:t>
      </w:r>
      <w:r w:rsidR="00C60F57">
        <w:t>roducts connected to the World of Work</w:t>
      </w:r>
    </w:p>
    <w:p w14:paraId="0AED50F5" w14:textId="27066468" w:rsidR="00C60F57" w:rsidRDefault="00C60F57">
      <w:r>
        <w:t>When designing the task, work towards a concrete product as outcome. This reflects the nature of workplac</w:t>
      </w:r>
      <w:r w:rsidR="00FC6108">
        <w:t xml:space="preserve">es, which generate explicit final </w:t>
      </w:r>
      <w:r>
        <w:t xml:space="preserve">products. The product can take many shapes, </w:t>
      </w:r>
      <w:r w:rsidR="00FC6108">
        <w:t xml:space="preserve">for example, </w:t>
      </w:r>
      <w:r>
        <w:t>it may be an obje</w:t>
      </w:r>
      <w:r w:rsidR="00FC6108">
        <w:t xml:space="preserve">ct or a report or an </w:t>
      </w:r>
      <w:r w:rsidR="00700FB8">
        <w:t>advice</w:t>
      </w:r>
      <w:r>
        <w:t>. Consider the following:</w:t>
      </w:r>
    </w:p>
    <w:p w14:paraId="4D4770D0" w14:textId="77777777" w:rsidR="00C60F57" w:rsidRDefault="00C60F57">
      <w:pPr>
        <w:pStyle w:val="Lijstalinea"/>
        <w:numPr>
          <w:ilvl w:val="0"/>
          <w:numId w:val="21"/>
        </w:numPr>
      </w:pPr>
      <w:r>
        <w:t>The intended product should fit the context, role and activities;</w:t>
      </w:r>
    </w:p>
    <w:p w14:paraId="46C39771" w14:textId="3B46A55A" w:rsidR="00FC6108" w:rsidRDefault="00C60F57" w:rsidP="00FC6108">
      <w:pPr>
        <w:pStyle w:val="Lijstalinea"/>
        <w:numPr>
          <w:ilvl w:val="0"/>
          <w:numId w:val="21"/>
        </w:numPr>
      </w:pPr>
      <w:r>
        <w:t xml:space="preserve">Make sure that the product has an audience for whom the product is useful. If the audience is not immediately clear from the activities, make explicit </w:t>
      </w:r>
      <w:r w:rsidR="00700FB8">
        <w:t xml:space="preserve">for </w:t>
      </w:r>
      <w:r>
        <w:t xml:space="preserve">the students who the audience is. A clear audience, as part of the community of practice, will help define the product and its </w:t>
      </w:r>
      <w:r w:rsidR="00F31163">
        <w:t>specifications;</w:t>
      </w:r>
    </w:p>
    <w:p w14:paraId="2F13566B" w14:textId="6A460512" w:rsidR="00F31163" w:rsidRDefault="00F31163" w:rsidP="00FC6108">
      <w:pPr>
        <w:pStyle w:val="Lijstalinea"/>
        <w:numPr>
          <w:ilvl w:val="0"/>
          <w:numId w:val="21"/>
        </w:numPr>
      </w:pPr>
      <w:r>
        <w:t>Have students include an appendix, a brief, a memo or a log in which they show or explain the way they used math or science (the process) to address and solve the problem;</w:t>
      </w:r>
    </w:p>
    <w:p w14:paraId="3EDE5637" w14:textId="4A4CBA05" w:rsidR="00F27D09" w:rsidRDefault="00C60F57" w:rsidP="002166E4">
      <w:pPr>
        <w:pStyle w:val="Lijstalinea"/>
        <w:numPr>
          <w:ilvl w:val="0"/>
          <w:numId w:val="21"/>
        </w:numPr>
      </w:pPr>
      <w:r>
        <w:t xml:space="preserve">Include </w:t>
      </w:r>
      <w:r w:rsidR="007C734D">
        <w:t>suggestions and/or instruments for reflecting on</w:t>
      </w:r>
      <w:r>
        <w:t xml:space="preserve"> </w:t>
      </w:r>
      <w:r w:rsidR="007C734D">
        <w:t xml:space="preserve">and </w:t>
      </w:r>
      <w:r>
        <w:t>evaluati</w:t>
      </w:r>
      <w:r w:rsidR="007C734D">
        <w:t xml:space="preserve">ng </w:t>
      </w:r>
      <w:r>
        <w:t>process and product.</w:t>
      </w:r>
      <w:r w:rsidR="00700FB8">
        <w:t xml:space="preserve"> </w:t>
      </w:r>
      <w:r w:rsidR="00A42504">
        <w:t xml:space="preserve">An example of such a list </w:t>
      </w:r>
      <w:r w:rsidR="009C276B">
        <w:t xml:space="preserve">of </w:t>
      </w:r>
      <w:r w:rsidR="00A42504">
        <w:t xml:space="preserve">criteria </w:t>
      </w:r>
      <w:r w:rsidR="00700FB8">
        <w:t xml:space="preserve">can be found </w:t>
      </w:r>
      <w:r w:rsidR="00F27D09">
        <w:t xml:space="preserve">in figure </w:t>
      </w:r>
      <w:r w:rsidR="00DF2DCD">
        <w:t>2</w:t>
      </w:r>
      <w:r w:rsidR="00A42504">
        <w:rPr>
          <w:rStyle w:val="Voetnootmarkering"/>
        </w:rPr>
        <w:footnoteReference w:id="5"/>
      </w:r>
      <w:r w:rsidR="00A42504">
        <w:t>.</w:t>
      </w:r>
      <w:r w:rsidR="009C276B">
        <w:t xml:space="preserve"> </w:t>
      </w:r>
    </w:p>
    <w:p w14:paraId="3C083451" w14:textId="5D35FA00" w:rsidR="00F27D09" w:rsidRDefault="00F27D09" w:rsidP="002166E4">
      <w:pPr>
        <w:pStyle w:val="Lijstalinea"/>
      </w:pPr>
    </w:p>
    <w:p w14:paraId="67C04617" w14:textId="77777777" w:rsidR="00DF2DCD" w:rsidRDefault="00F27D09" w:rsidP="00F27D09">
      <w:r>
        <w:rPr>
          <w:noProof/>
          <w:lang w:val="en-US" w:eastAsia="nl-NL"/>
        </w:rPr>
        <w:drawing>
          <wp:inline distT="0" distB="0" distL="0" distR="0" wp14:anchorId="4CB61E26" wp14:editId="1BE7E42D">
            <wp:extent cx="5270500" cy="1982385"/>
            <wp:effectExtent l="19050" t="19050" r="25400"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982385"/>
                    </a:xfrm>
                    <a:prstGeom prst="rect">
                      <a:avLst/>
                    </a:prstGeom>
                    <a:noFill/>
                    <a:ln>
                      <a:solidFill>
                        <a:schemeClr val="tx1"/>
                      </a:solidFill>
                    </a:ln>
                  </pic:spPr>
                </pic:pic>
              </a:graphicData>
            </a:graphic>
          </wp:inline>
        </w:drawing>
      </w:r>
    </w:p>
    <w:p w14:paraId="01B8A1A3" w14:textId="77777777" w:rsidR="00DF2DCD" w:rsidRDefault="00DF2DCD" w:rsidP="00F27D09"/>
    <w:p w14:paraId="12A47843" w14:textId="5D650166" w:rsidR="00B6130D" w:rsidRDefault="00DF2DCD" w:rsidP="00F27D09">
      <w:pPr>
        <w:rPr>
          <w:rFonts w:ascii="Calibri" w:eastAsia="MS Gothic" w:hAnsi="Calibri"/>
          <w:b/>
          <w:bCs/>
          <w:color w:val="4F81BD"/>
          <w:sz w:val="28"/>
          <w:szCs w:val="26"/>
        </w:rPr>
      </w:pPr>
      <w:r>
        <w:t>Figure 2: An example of a list of criteria to evaluate process and product</w:t>
      </w:r>
      <w:r w:rsidR="00B6130D">
        <w:br w:type="page"/>
      </w:r>
    </w:p>
    <w:p w14:paraId="3E2F4DD9" w14:textId="52EE4B02" w:rsidR="00C60F57" w:rsidRDefault="00F27D09" w:rsidP="00B6130D">
      <w:pPr>
        <w:pStyle w:val="Kop2"/>
      </w:pPr>
      <w:bookmarkStart w:id="9" w:name="_Toc389464916"/>
      <w:r>
        <w:lastRenderedPageBreak/>
        <w:t>G</w:t>
      </w:r>
      <w:r w:rsidR="00B6130D">
        <w:t>uidelines</w:t>
      </w:r>
      <w:r>
        <w:t xml:space="preserve"> for redesigning</w:t>
      </w:r>
      <w:bookmarkEnd w:id="9"/>
      <w:r>
        <w:t xml:space="preserve"> </w:t>
      </w:r>
    </w:p>
    <w:p w14:paraId="09691F87" w14:textId="77777777" w:rsidR="003E6024" w:rsidRDefault="003E6024" w:rsidP="003E6024">
      <w:pPr>
        <w:pStyle w:val="Kop3"/>
      </w:pPr>
      <w:r>
        <w:t xml:space="preserve">Redesigning a structured textbook task </w:t>
      </w:r>
    </w:p>
    <w:p w14:paraId="6A3FA987" w14:textId="335B1B6F" w:rsidR="003728B6" w:rsidRDefault="00B97D51" w:rsidP="003E6024">
      <w:pPr>
        <w:pStyle w:val="Lijstalinea"/>
        <w:ind w:left="0"/>
      </w:pPr>
      <w:r>
        <w:t>Often, i</w:t>
      </w:r>
      <w:r w:rsidR="003728B6">
        <w:t xml:space="preserve">t is not necessary to start from scratch when </w:t>
      </w:r>
      <w:r w:rsidR="003E6024">
        <w:t xml:space="preserve">designing tasks that fit the characteristics of </w:t>
      </w:r>
      <w:r w:rsidR="0094788C">
        <w:rPr>
          <w:i/>
        </w:rPr>
        <w:t>m</w:t>
      </w:r>
      <w:r w:rsidR="0094788C" w:rsidRPr="00FE4F96">
        <w:rPr>
          <w:i/>
        </w:rPr>
        <w:t>ascil</w:t>
      </w:r>
      <w:r w:rsidR="003E6024">
        <w:t xml:space="preserve">. </w:t>
      </w:r>
      <w:r w:rsidR="00F27D09">
        <w:t xml:space="preserve">An easy-to-find </w:t>
      </w:r>
      <w:r w:rsidR="003E6024">
        <w:t xml:space="preserve">starting point </w:t>
      </w:r>
      <w:r w:rsidR="00F27D09">
        <w:t xml:space="preserve">is </w:t>
      </w:r>
      <w:r w:rsidR="003E6024">
        <w:t>a textbook problem</w:t>
      </w:r>
      <w:r w:rsidR="00F27D09">
        <w:t xml:space="preserve"> </w:t>
      </w:r>
      <w:r w:rsidR="003E6024">
        <w:t xml:space="preserve">situated in a (rich vocational) context. The </w:t>
      </w:r>
      <w:r w:rsidR="003728B6">
        <w:t xml:space="preserve">activities presented to the  </w:t>
      </w:r>
    </w:p>
    <w:p w14:paraId="77F4A2B6" w14:textId="49383D00" w:rsidR="003E6024" w:rsidRDefault="003E6024" w:rsidP="003E6024">
      <w:pPr>
        <w:pStyle w:val="Lijstalinea"/>
        <w:ind w:left="0"/>
      </w:pPr>
      <w:r>
        <w:t xml:space="preserve">students will in that case be typical textbook problems: highly structured, closed, </w:t>
      </w:r>
      <w:r w:rsidR="003728B6">
        <w:t>divided in</w:t>
      </w:r>
      <w:r>
        <w:t xml:space="preserve"> </w:t>
      </w:r>
      <w:r w:rsidR="005A407F">
        <w:t>sub-</w:t>
      </w:r>
      <w:r>
        <w:t>problems</w:t>
      </w:r>
      <w:r w:rsidR="003728B6">
        <w:t>, with a lot of</w:t>
      </w:r>
      <w:r w:rsidR="00F27D09">
        <w:t xml:space="preserve"> </w:t>
      </w:r>
      <w:r>
        <w:t>guid</w:t>
      </w:r>
      <w:r w:rsidR="003728B6">
        <w:t>anc</w:t>
      </w:r>
      <w:r>
        <w:t xml:space="preserve">e. </w:t>
      </w:r>
      <w:r w:rsidR="003728B6">
        <w:t xml:space="preserve">If </w:t>
      </w:r>
      <w:r>
        <w:t xml:space="preserve">this </w:t>
      </w:r>
      <w:r w:rsidR="003728B6">
        <w:t xml:space="preserve">is the </w:t>
      </w:r>
      <w:r>
        <w:t xml:space="preserve">case you </w:t>
      </w:r>
      <w:r w:rsidR="003728B6">
        <w:t xml:space="preserve">may </w:t>
      </w:r>
      <w:r>
        <w:t>keep the setting</w:t>
      </w:r>
      <w:r w:rsidR="003728B6">
        <w:t xml:space="preserve"> (the context)</w:t>
      </w:r>
      <w:r>
        <w:t>, but change the activities. This can be done by opening them up, stating a purpose</w:t>
      </w:r>
      <w:r w:rsidR="00863E20">
        <w:t>, describing a meaningful situation that ‘naturally’ incorporates and evokes questions,</w:t>
      </w:r>
      <w:r>
        <w:t xml:space="preserve"> or starting with an authentic</w:t>
      </w:r>
      <w:r w:rsidR="003728B6">
        <w:t xml:space="preserve"> overarching </w:t>
      </w:r>
      <w:r>
        <w:t xml:space="preserve"> problem in order to support inquiry-based learning. </w:t>
      </w:r>
    </w:p>
    <w:p w14:paraId="1BFF7936" w14:textId="6C081850" w:rsidR="003E6024" w:rsidRPr="00856CFE" w:rsidRDefault="003E6024" w:rsidP="003E6024">
      <w:pPr>
        <w:pStyle w:val="Kop3"/>
        <w:rPr>
          <w:rStyle w:val="Intensievebenadrukking"/>
        </w:rPr>
      </w:pPr>
      <w:r>
        <w:t xml:space="preserve">Connecting an IBL task </w:t>
      </w:r>
      <w:r w:rsidR="006121E9">
        <w:t xml:space="preserve">to the </w:t>
      </w:r>
      <w:r>
        <w:t>W</w:t>
      </w:r>
      <w:r w:rsidR="006121E9">
        <w:t xml:space="preserve">orld </w:t>
      </w:r>
      <w:r>
        <w:t>o</w:t>
      </w:r>
      <w:r w:rsidR="006121E9">
        <w:t xml:space="preserve">f </w:t>
      </w:r>
      <w:r>
        <w:t>W</w:t>
      </w:r>
      <w:r w:rsidR="006121E9">
        <w:t>ork</w:t>
      </w:r>
    </w:p>
    <w:p w14:paraId="32D9C93C" w14:textId="5EDF6583" w:rsidR="003E6024" w:rsidRDefault="003E6024" w:rsidP="003E6024">
      <w:r>
        <w:t xml:space="preserve">The starting point for </w:t>
      </w:r>
      <w:r w:rsidR="003728B6">
        <w:t xml:space="preserve">a </w:t>
      </w:r>
      <w:r w:rsidR="0094788C">
        <w:rPr>
          <w:i/>
        </w:rPr>
        <w:t>m</w:t>
      </w:r>
      <w:r w:rsidR="0094788C" w:rsidRPr="00FE4F96">
        <w:rPr>
          <w:i/>
        </w:rPr>
        <w:t>ascil</w:t>
      </w:r>
      <w:r>
        <w:t xml:space="preserve"> </w:t>
      </w:r>
      <w:r w:rsidR="003728B6">
        <w:t xml:space="preserve">task </w:t>
      </w:r>
      <w:r>
        <w:t>may also be an existing IBL</w:t>
      </w:r>
      <w:r w:rsidR="00700FB8">
        <w:t xml:space="preserve"> </w:t>
      </w:r>
      <w:r>
        <w:t>task for mathematics or science that is not yet related to the World of Work</w:t>
      </w:r>
      <w:r>
        <w:rPr>
          <w:rStyle w:val="Voetnootmarkering"/>
        </w:rPr>
        <w:footnoteReference w:id="6"/>
      </w:r>
      <w:r>
        <w:t xml:space="preserve">. In this case it </w:t>
      </w:r>
      <w:r w:rsidR="003728B6">
        <w:t>is often</w:t>
      </w:r>
      <w:r>
        <w:t xml:space="preserve"> possible to add contextual information</w:t>
      </w:r>
      <w:r w:rsidR="003728B6">
        <w:t xml:space="preserve"> from the WoW</w:t>
      </w:r>
      <w:r>
        <w:t xml:space="preserve">, </w:t>
      </w:r>
      <w:r w:rsidR="003728B6">
        <w:t>to formulate</w:t>
      </w:r>
      <w:r>
        <w:t xml:space="preserve"> activities for the students</w:t>
      </w:r>
      <w:r w:rsidR="00700FB8">
        <w:t xml:space="preserve"> that are </w:t>
      </w:r>
      <w:r>
        <w:t xml:space="preserve">related to similar </w:t>
      </w:r>
      <w:r w:rsidR="003728B6">
        <w:t>authentic practices from</w:t>
      </w:r>
      <w:r>
        <w:t xml:space="preserve"> the </w:t>
      </w:r>
      <w:r w:rsidR="006121E9">
        <w:t>WoW</w:t>
      </w:r>
      <w:r w:rsidR="003728B6">
        <w:t>, to give students a professional role and to define an appropriate product</w:t>
      </w:r>
      <w:r>
        <w:t xml:space="preserve">. </w:t>
      </w:r>
    </w:p>
    <w:p w14:paraId="0F57F566" w14:textId="3268659D" w:rsidR="003E6024" w:rsidRPr="003E6024" w:rsidRDefault="003E6024" w:rsidP="003E6024">
      <w:pPr>
        <w:pStyle w:val="Kop3"/>
      </w:pPr>
      <w:r>
        <w:t>Guidelines for (re)design</w:t>
      </w:r>
    </w:p>
    <w:p w14:paraId="6C487875" w14:textId="112EFE49" w:rsidR="001B131E" w:rsidRDefault="00A51DEE" w:rsidP="003E6024">
      <w:pPr>
        <w:pStyle w:val="Lijstalinea"/>
        <w:numPr>
          <w:ilvl w:val="0"/>
          <w:numId w:val="42"/>
        </w:numPr>
        <w:ind w:left="360"/>
        <w:rPr>
          <w:lang w:val="en-US"/>
        </w:rPr>
      </w:pPr>
      <w:r>
        <w:rPr>
          <w:lang w:val="en-US"/>
        </w:rPr>
        <w:t>From a</w:t>
      </w:r>
      <w:r w:rsidR="001B131E" w:rsidRPr="001B131E">
        <w:rPr>
          <w:lang w:val="en-US"/>
        </w:rPr>
        <w:t xml:space="preserve"> </w:t>
      </w:r>
      <w:r>
        <w:rPr>
          <w:lang w:val="en-US"/>
        </w:rPr>
        <w:t xml:space="preserve">structured </w:t>
      </w:r>
      <w:r w:rsidR="00F27D09">
        <w:rPr>
          <w:lang w:val="en-US"/>
        </w:rPr>
        <w:t xml:space="preserve">(textbook) </w:t>
      </w:r>
      <w:r>
        <w:rPr>
          <w:lang w:val="en-US"/>
        </w:rPr>
        <w:t>task to a task supporting IBL</w:t>
      </w:r>
    </w:p>
    <w:p w14:paraId="3D4A981D" w14:textId="3B464D19" w:rsidR="001B131E" w:rsidRDefault="001B131E" w:rsidP="003E6024">
      <w:pPr>
        <w:pStyle w:val="Lijstalinea"/>
        <w:numPr>
          <w:ilvl w:val="1"/>
          <w:numId w:val="42"/>
        </w:numPr>
        <w:ind w:left="1080"/>
        <w:rPr>
          <w:lang w:val="en-US"/>
        </w:rPr>
      </w:pPr>
      <w:r>
        <w:rPr>
          <w:lang w:val="en-US"/>
        </w:rPr>
        <w:t>Look for the ‘</w:t>
      </w:r>
      <w:r w:rsidR="002166E4">
        <w:rPr>
          <w:lang w:val="en-US"/>
        </w:rPr>
        <w:t xml:space="preserve">relevant </w:t>
      </w:r>
      <w:r w:rsidR="00863E20">
        <w:rPr>
          <w:lang w:val="en-US"/>
        </w:rPr>
        <w:t xml:space="preserve">and meaningful </w:t>
      </w:r>
      <w:r w:rsidR="002166E4">
        <w:rPr>
          <w:lang w:val="en-US"/>
        </w:rPr>
        <w:t xml:space="preserve">(for the students) </w:t>
      </w:r>
      <w:r>
        <w:rPr>
          <w:lang w:val="en-US"/>
        </w:rPr>
        <w:t xml:space="preserve">problem’ within the context. Take this as the focal point </w:t>
      </w:r>
      <w:r w:rsidR="00A51DEE">
        <w:rPr>
          <w:lang w:val="en-US"/>
        </w:rPr>
        <w:t>for redesign</w:t>
      </w:r>
      <w:r>
        <w:rPr>
          <w:lang w:val="en-US"/>
        </w:rPr>
        <w:t xml:space="preserve"> </w:t>
      </w:r>
    </w:p>
    <w:p w14:paraId="0DA46394" w14:textId="5D10C772" w:rsidR="00A51DEE" w:rsidRDefault="00A51DEE" w:rsidP="003E6024">
      <w:pPr>
        <w:pStyle w:val="Lijstalinea"/>
        <w:numPr>
          <w:ilvl w:val="1"/>
          <w:numId w:val="42"/>
        </w:numPr>
        <w:ind w:left="1080"/>
        <w:rPr>
          <w:lang w:val="en-US"/>
        </w:rPr>
      </w:pPr>
      <w:r>
        <w:rPr>
          <w:lang w:val="en-US"/>
        </w:rPr>
        <w:t>Create opportunities for students to become owner of the problem and a solution strategy</w:t>
      </w:r>
      <w:r w:rsidR="00863E20">
        <w:rPr>
          <w:lang w:val="en-US"/>
        </w:rPr>
        <w:t xml:space="preserve"> (the problem gives rise to multiple strategies)</w:t>
      </w:r>
    </w:p>
    <w:p w14:paraId="0B64DFEF" w14:textId="13089140" w:rsidR="003728B6" w:rsidRDefault="003728B6" w:rsidP="003728B6">
      <w:pPr>
        <w:pStyle w:val="Lijstalinea"/>
        <w:numPr>
          <w:ilvl w:val="1"/>
          <w:numId w:val="42"/>
        </w:numPr>
        <w:ind w:left="1080"/>
        <w:rPr>
          <w:lang w:val="en-US"/>
        </w:rPr>
      </w:pPr>
      <w:r>
        <w:rPr>
          <w:lang w:val="en-US"/>
        </w:rPr>
        <w:t xml:space="preserve">Skip </w:t>
      </w:r>
      <w:r w:rsidR="005A407F">
        <w:rPr>
          <w:lang w:val="en-US"/>
        </w:rPr>
        <w:t>sub-</w:t>
      </w:r>
      <w:r>
        <w:rPr>
          <w:lang w:val="en-US"/>
        </w:rPr>
        <w:t>questions</w:t>
      </w:r>
      <w:r w:rsidR="00863E20">
        <w:rPr>
          <w:lang w:val="en-US"/>
        </w:rPr>
        <w:t xml:space="preserve"> and have students plan or be involved in planning the inquiry</w:t>
      </w:r>
    </w:p>
    <w:p w14:paraId="3AC30335" w14:textId="5A34C40E" w:rsidR="00A51DEE" w:rsidRDefault="00A51DEE" w:rsidP="003E6024">
      <w:pPr>
        <w:pStyle w:val="Lijstalinea"/>
        <w:numPr>
          <w:ilvl w:val="1"/>
          <w:numId w:val="42"/>
        </w:numPr>
        <w:ind w:left="1080"/>
        <w:rPr>
          <w:lang w:val="en-US"/>
        </w:rPr>
      </w:pPr>
      <w:r>
        <w:rPr>
          <w:lang w:val="en-US"/>
        </w:rPr>
        <w:t>Scaffold students’ inquiry process (</w:t>
      </w:r>
      <w:r w:rsidR="00863E20">
        <w:rPr>
          <w:lang w:val="en-US"/>
        </w:rPr>
        <w:t xml:space="preserve">e.g. with a lesson plan including an </w:t>
      </w:r>
      <w:r>
        <w:rPr>
          <w:lang w:val="en-US"/>
        </w:rPr>
        <w:t>introduction</w:t>
      </w:r>
      <w:r w:rsidR="00863E20">
        <w:rPr>
          <w:lang w:val="en-US"/>
        </w:rPr>
        <w:t xml:space="preserve"> of the problem situation</w:t>
      </w:r>
      <w:r w:rsidR="009E0217">
        <w:rPr>
          <w:lang w:val="en-US"/>
        </w:rPr>
        <w:t xml:space="preserve"> and</w:t>
      </w:r>
      <w:r w:rsidR="00700FB8">
        <w:rPr>
          <w:lang w:val="en-US"/>
        </w:rPr>
        <w:t xml:space="preserve"> </w:t>
      </w:r>
      <w:r>
        <w:rPr>
          <w:lang w:val="en-US"/>
        </w:rPr>
        <w:t>process support)</w:t>
      </w:r>
    </w:p>
    <w:p w14:paraId="688DEEEE" w14:textId="0459DE38" w:rsidR="00A51DEE" w:rsidRDefault="00A51DEE" w:rsidP="003E6024">
      <w:pPr>
        <w:pStyle w:val="Lijstalinea"/>
        <w:numPr>
          <w:ilvl w:val="1"/>
          <w:numId w:val="42"/>
        </w:numPr>
        <w:ind w:left="1080"/>
        <w:rPr>
          <w:lang w:val="en-US"/>
        </w:rPr>
      </w:pPr>
      <w:r>
        <w:rPr>
          <w:lang w:val="en-US"/>
        </w:rPr>
        <w:t>Provide guidelines about the final evaluation</w:t>
      </w:r>
    </w:p>
    <w:p w14:paraId="2114EB63" w14:textId="1E554CA2" w:rsidR="001B131E" w:rsidRDefault="00A51DEE" w:rsidP="003E6024">
      <w:pPr>
        <w:pStyle w:val="Lijstalinea"/>
        <w:numPr>
          <w:ilvl w:val="0"/>
          <w:numId w:val="42"/>
        </w:numPr>
        <w:ind w:left="360"/>
        <w:rPr>
          <w:lang w:val="en-US"/>
        </w:rPr>
      </w:pPr>
      <w:r>
        <w:rPr>
          <w:lang w:val="en-US"/>
        </w:rPr>
        <w:t>C</w:t>
      </w:r>
      <w:r w:rsidR="001B131E">
        <w:rPr>
          <w:lang w:val="en-US"/>
        </w:rPr>
        <w:t>onnect to the WoW</w:t>
      </w:r>
    </w:p>
    <w:p w14:paraId="1AB171EF" w14:textId="01489C35" w:rsidR="001B131E" w:rsidRDefault="001B131E" w:rsidP="003E6024">
      <w:pPr>
        <w:pStyle w:val="Lijstalinea"/>
        <w:numPr>
          <w:ilvl w:val="1"/>
          <w:numId w:val="42"/>
        </w:numPr>
        <w:ind w:left="1080"/>
        <w:rPr>
          <w:lang w:val="en-US"/>
        </w:rPr>
      </w:pPr>
      <w:r>
        <w:rPr>
          <w:lang w:val="en-US"/>
        </w:rPr>
        <w:t>Explore the context and try to relate this to the WoW</w:t>
      </w:r>
      <w:r w:rsidR="00F27D09">
        <w:rPr>
          <w:lang w:val="en-US"/>
        </w:rPr>
        <w:t xml:space="preserve"> </w:t>
      </w:r>
      <w:r w:rsidR="00F27D09">
        <w:rPr>
          <w:lang w:val="en-US"/>
        </w:rPr>
        <w:br/>
        <w:t>Note: be aware that it is not always possible to connect an existing task to a  practice fr</w:t>
      </w:r>
      <w:r w:rsidR="009E0217">
        <w:rPr>
          <w:lang w:val="en-US"/>
        </w:rPr>
        <w:t>om the WoW in an authentic way.</w:t>
      </w:r>
    </w:p>
    <w:p w14:paraId="5CF36EF7" w14:textId="4EF1E2C8" w:rsidR="00DF2DCD" w:rsidRPr="00DF2DCD" w:rsidRDefault="007A3389" w:rsidP="00DF2DCD">
      <w:pPr>
        <w:pStyle w:val="Lijstalinea"/>
        <w:numPr>
          <w:ilvl w:val="1"/>
          <w:numId w:val="42"/>
        </w:numPr>
        <w:ind w:left="1080"/>
        <w:rPr>
          <w:lang w:val="en-US"/>
        </w:rPr>
      </w:pPr>
      <w:r>
        <w:t xml:space="preserve">Think of a workplace practitioner and a </w:t>
      </w:r>
      <w:r w:rsidR="003E6024">
        <w:t>workplace activity</w:t>
      </w:r>
      <w:r>
        <w:t xml:space="preserve"> </w:t>
      </w:r>
      <w:r w:rsidR="0012686C">
        <w:t>that fit the task</w:t>
      </w:r>
      <w:r w:rsidR="009E0217">
        <w:t xml:space="preserve"> (as a backbone for the (re)design)</w:t>
      </w:r>
    </w:p>
    <w:p w14:paraId="7F738D12" w14:textId="7D534CEA" w:rsidR="00DF2DCD" w:rsidRPr="009E0217" w:rsidRDefault="00DF2DCD" w:rsidP="00DF2DCD">
      <w:pPr>
        <w:pStyle w:val="Lijstalinea"/>
        <w:numPr>
          <w:ilvl w:val="1"/>
          <w:numId w:val="42"/>
        </w:numPr>
        <w:ind w:left="1080"/>
        <w:rPr>
          <w:lang w:val="en-US"/>
        </w:rPr>
      </w:pPr>
      <w:r>
        <w:t xml:space="preserve">Use </w:t>
      </w:r>
      <w:r w:rsidR="009E0217">
        <w:t>artefacts, tools and language from the workplace</w:t>
      </w:r>
      <w:r>
        <w:t xml:space="preserve"> where possible and </w:t>
      </w:r>
      <w:r w:rsidR="009E0217">
        <w:t xml:space="preserve">adapt and </w:t>
      </w:r>
      <w:r>
        <w:t>connect t</w:t>
      </w:r>
      <w:r w:rsidR="009E0217">
        <w:t>his to disciplinary use</w:t>
      </w:r>
    </w:p>
    <w:p w14:paraId="7FBAB992" w14:textId="091DAB90" w:rsidR="009E0217" w:rsidRPr="00DF2DCD" w:rsidRDefault="009E0217" w:rsidP="00DF2DCD">
      <w:pPr>
        <w:pStyle w:val="Lijstalinea"/>
        <w:numPr>
          <w:ilvl w:val="1"/>
          <w:numId w:val="42"/>
        </w:numPr>
        <w:ind w:left="1080"/>
        <w:rPr>
          <w:lang w:val="en-US"/>
        </w:rPr>
      </w:pPr>
      <w:r>
        <w:t>Make the professional role as concrete as possible</w:t>
      </w:r>
    </w:p>
    <w:p w14:paraId="6597C012" w14:textId="7AB758BC" w:rsidR="006A07C6" w:rsidRPr="008B7931" w:rsidRDefault="004321BF" w:rsidP="003E6024">
      <w:pPr>
        <w:pStyle w:val="Lijstalinea"/>
        <w:numPr>
          <w:ilvl w:val="1"/>
          <w:numId w:val="42"/>
        </w:numPr>
        <w:ind w:left="1080"/>
        <w:rPr>
          <w:lang w:val="en-US"/>
        </w:rPr>
      </w:pPr>
      <w:r>
        <w:rPr>
          <w:lang w:val="en-US"/>
        </w:rPr>
        <w:t>Determine</w:t>
      </w:r>
      <w:r w:rsidR="003E6024" w:rsidRPr="003E6024">
        <w:rPr>
          <w:lang w:val="en-US"/>
        </w:rPr>
        <w:t xml:space="preserve"> </w:t>
      </w:r>
      <w:r w:rsidR="003E6024">
        <w:rPr>
          <w:lang w:val="en-US"/>
        </w:rPr>
        <w:t>a product</w:t>
      </w:r>
      <w:r w:rsidR="003E6024" w:rsidRPr="003E6024">
        <w:rPr>
          <w:lang w:val="en-US"/>
        </w:rPr>
        <w:t xml:space="preserve"> connect</w:t>
      </w:r>
      <w:r w:rsidR="003E6024">
        <w:rPr>
          <w:lang w:val="en-US"/>
        </w:rPr>
        <w:t>ing</w:t>
      </w:r>
      <w:r w:rsidR="003E6024" w:rsidRPr="003E6024">
        <w:rPr>
          <w:lang w:val="en-US"/>
        </w:rPr>
        <w:t xml:space="preserve"> to the </w:t>
      </w:r>
      <w:r w:rsidR="003E6024">
        <w:rPr>
          <w:lang w:val="en-US"/>
        </w:rPr>
        <w:t>WoW</w:t>
      </w:r>
      <w:r w:rsidR="003728B6">
        <w:rPr>
          <w:lang w:val="en-US"/>
        </w:rPr>
        <w:t xml:space="preserve"> for an audience</w:t>
      </w:r>
    </w:p>
    <w:p w14:paraId="29CA7CE3" w14:textId="48DBBBAC" w:rsidR="001B131E" w:rsidRDefault="003E6024" w:rsidP="003E6024">
      <w:pPr>
        <w:pStyle w:val="Lijstalinea"/>
        <w:numPr>
          <w:ilvl w:val="0"/>
          <w:numId w:val="42"/>
        </w:numPr>
        <w:ind w:left="360"/>
        <w:rPr>
          <w:lang w:val="en-US"/>
        </w:rPr>
      </w:pPr>
      <w:r>
        <w:rPr>
          <w:lang w:val="en-US"/>
        </w:rPr>
        <w:t>S</w:t>
      </w:r>
      <w:r w:rsidR="001B131E">
        <w:rPr>
          <w:lang w:val="en-US"/>
        </w:rPr>
        <w:t>timulat</w:t>
      </w:r>
      <w:r w:rsidR="00BC0B2B">
        <w:rPr>
          <w:lang w:val="en-US"/>
        </w:rPr>
        <w:t>e</w:t>
      </w:r>
      <w:r w:rsidR="001B131E">
        <w:rPr>
          <w:lang w:val="en-US"/>
        </w:rPr>
        <w:t xml:space="preserve"> co</w:t>
      </w:r>
      <w:r w:rsidR="001B112C">
        <w:rPr>
          <w:lang w:val="en-US"/>
        </w:rPr>
        <w:t>llabor</w:t>
      </w:r>
      <w:r w:rsidR="001B131E">
        <w:rPr>
          <w:lang w:val="en-US"/>
        </w:rPr>
        <w:t>ation and communication</w:t>
      </w:r>
    </w:p>
    <w:p w14:paraId="6566FE38" w14:textId="1BBAFB61" w:rsidR="006A07C6" w:rsidRDefault="006A07C6" w:rsidP="003E6024">
      <w:pPr>
        <w:pStyle w:val="Lijstalinea"/>
        <w:numPr>
          <w:ilvl w:val="1"/>
          <w:numId w:val="42"/>
        </w:numPr>
        <w:ind w:left="1080"/>
        <w:rPr>
          <w:lang w:val="en-US"/>
        </w:rPr>
      </w:pPr>
      <w:r>
        <w:rPr>
          <w:lang w:val="en-US"/>
        </w:rPr>
        <w:t xml:space="preserve">Ask for products that can </w:t>
      </w:r>
      <w:r w:rsidR="007F6E8B">
        <w:rPr>
          <w:lang w:val="en-US"/>
        </w:rPr>
        <w:t xml:space="preserve">be </w:t>
      </w:r>
      <w:r>
        <w:rPr>
          <w:lang w:val="en-US"/>
        </w:rPr>
        <w:t>presented or discussed</w:t>
      </w:r>
    </w:p>
    <w:p w14:paraId="7F509434" w14:textId="2AA96F69" w:rsidR="006A07C6" w:rsidRDefault="003728B6" w:rsidP="003E6024">
      <w:pPr>
        <w:pStyle w:val="Lijstalinea"/>
        <w:numPr>
          <w:ilvl w:val="1"/>
          <w:numId w:val="42"/>
        </w:numPr>
        <w:ind w:left="1080"/>
        <w:rPr>
          <w:lang w:val="en-US"/>
        </w:rPr>
      </w:pPr>
      <w:r>
        <w:rPr>
          <w:lang w:val="en-US"/>
        </w:rPr>
        <w:t>Make sure the</w:t>
      </w:r>
      <w:r w:rsidR="006A07C6">
        <w:rPr>
          <w:lang w:val="en-US"/>
        </w:rPr>
        <w:t xml:space="preserve"> task ask</w:t>
      </w:r>
      <w:r>
        <w:rPr>
          <w:lang w:val="en-US"/>
        </w:rPr>
        <w:t>s</w:t>
      </w:r>
      <w:r w:rsidR="006A07C6">
        <w:rPr>
          <w:lang w:val="en-US"/>
        </w:rPr>
        <w:t xml:space="preserve"> for co</w:t>
      </w:r>
      <w:r w:rsidR="009E0217">
        <w:rPr>
          <w:lang w:val="en-US"/>
        </w:rPr>
        <w:t>llabor</w:t>
      </w:r>
      <w:r w:rsidR="006A07C6">
        <w:rPr>
          <w:lang w:val="en-US"/>
        </w:rPr>
        <w:t>ative work (e.g. sharing of responsibilities)</w:t>
      </w:r>
    </w:p>
    <w:p w14:paraId="7ED2ED1B" w14:textId="497DFC30" w:rsidR="005B2619" w:rsidRPr="003E6024" w:rsidRDefault="006A07C6" w:rsidP="003E6024">
      <w:pPr>
        <w:pStyle w:val="Lijstalinea"/>
        <w:numPr>
          <w:ilvl w:val="1"/>
          <w:numId w:val="42"/>
        </w:numPr>
        <w:ind w:left="1080"/>
        <w:rPr>
          <w:lang w:val="en-US"/>
        </w:rPr>
      </w:pPr>
      <w:r>
        <w:rPr>
          <w:lang w:val="en-US"/>
        </w:rPr>
        <w:t>Organize peer feedback</w:t>
      </w:r>
    </w:p>
    <w:p w14:paraId="716E14BE" w14:textId="77777777" w:rsidR="00B6130D" w:rsidRDefault="00B6130D" w:rsidP="001B131E"/>
    <w:p w14:paraId="4B2A66B5" w14:textId="34E1D20D" w:rsidR="00A341D5" w:rsidRDefault="00A341D5" w:rsidP="001B131E">
      <w:r>
        <w:lastRenderedPageBreak/>
        <w:t xml:space="preserve">Finally, be aware of the changing role of the task in the learning process of the students. In addition to content-related goals, the new task aims </w:t>
      </w:r>
      <w:r w:rsidR="00700FB8">
        <w:t xml:space="preserve">to </w:t>
      </w:r>
      <w:r>
        <w:t xml:space="preserve">develop process skills. </w:t>
      </w:r>
      <w:r w:rsidR="00922E36">
        <w:t>In some cases this might be at the cost of attention for content knowledge. In other cases it might offer opportunities to deepen content knowledge, or to better assess students’ abilities</w:t>
      </w:r>
      <w:r>
        <w:t xml:space="preserve">. </w:t>
      </w:r>
    </w:p>
    <w:p w14:paraId="5E688D2E" w14:textId="6BFD197D" w:rsidR="00B6130D" w:rsidRDefault="00B6130D" w:rsidP="00B6130D">
      <w:pPr>
        <w:pStyle w:val="Kop2"/>
      </w:pPr>
      <w:bookmarkStart w:id="10" w:name="_Toc389464917"/>
      <w:r>
        <w:t>Examples</w:t>
      </w:r>
      <w:bookmarkEnd w:id="10"/>
    </w:p>
    <w:p w14:paraId="3BA29DD6" w14:textId="099DF885" w:rsidR="001B131E" w:rsidRDefault="00B6130D" w:rsidP="007657F3">
      <w:pPr>
        <w:pStyle w:val="Kop3"/>
        <w:numPr>
          <w:ilvl w:val="0"/>
          <w:numId w:val="46"/>
        </w:numPr>
      </w:pPr>
      <w:r>
        <w:t>Calculating Body Mass Index</w:t>
      </w:r>
      <w:r w:rsidR="00842772">
        <w:rPr>
          <w:rStyle w:val="Voetnootmarkering"/>
        </w:rPr>
        <w:footnoteReference w:id="7"/>
      </w:r>
    </w:p>
    <w:p w14:paraId="34E702B9" w14:textId="77777777" w:rsidR="008B7931" w:rsidRDefault="003E6024" w:rsidP="001B131E">
      <w:r>
        <w:t xml:space="preserve">This example shows two versions of a task. The first one is </w:t>
      </w:r>
      <w:r w:rsidR="006702D5">
        <w:t xml:space="preserve">a </w:t>
      </w:r>
      <w:r>
        <w:t>highly structured version of the task that guides the students</w:t>
      </w:r>
      <w:r w:rsidR="007657F3">
        <w:t xml:space="preserve"> along all </w:t>
      </w:r>
      <w:r w:rsidR="00700FB8">
        <w:t xml:space="preserve">the </w:t>
      </w:r>
      <w:r w:rsidR="007657F3">
        <w:t xml:space="preserve">steps needed to discover the mathematics behind a Body Mass Index calculator. The </w:t>
      </w:r>
      <w:r w:rsidR="005A407F">
        <w:t>sub-</w:t>
      </w:r>
      <w:r w:rsidR="007657F3">
        <w:t xml:space="preserve">questions ‘do the thinking’ for you. In the second version </w:t>
      </w:r>
      <w:r w:rsidR="003728B6">
        <w:t xml:space="preserve">of the </w:t>
      </w:r>
      <w:r w:rsidR="007657F3">
        <w:t>task</w:t>
      </w:r>
      <w:r w:rsidR="003728B6">
        <w:t>, structuring</w:t>
      </w:r>
      <w:r w:rsidR="007657F3">
        <w:t xml:space="preserve"> is the responsibility </w:t>
      </w:r>
      <w:r w:rsidR="00700FB8">
        <w:t xml:space="preserve">of </w:t>
      </w:r>
      <w:r w:rsidR="007657F3">
        <w:t>the students.</w:t>
      </w:r>
    </w:p>
    <w:p w14:paraId="10BB27DE" w14:textId="77777777" w:rsidR="008B7931" w:rsidRDefault="008B7931" w:rsidP="001B131E"/>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tblGrid>
      <w:tr w:rsidR="008B7931" w14:paraId="06070A35" w14:textId="77777777" w:rsidTr="008B7931">
        <w:trPr>
          <w:jc w:val="center"/>
        </w:trPr>
        <w:tc>
          <w:tcPr>
            <w:tcW w:w="8440" w:type="dxa"/>
          </w:tcPr>
          <w:p w14:paraId="4E850811" w14:textId="77777777" w:rsidR="008B7931" w:rsidRDefault="008B7931" w:rsidP="008B7931">
            <w:pPr>
              <w:jc w:val="center"/>
            </w:pPr>
            <w:r>
              <w:rPr>
                <w:noProof/>
                <w:lang w:val="en-US" w:eastAsia="nl-NL"/>
              </w:rPr>
              <w:drawing>
                <wp:inline distT="0" distB="0" distL="0" distR="0" wp14:anchorId="2D66C2D2" wp14:editId="5A4CC742">
                  <wp:extent cx="3548417" cy="4111270"/>
                  <wp:effectExtent l="19050" t="19050" r="13970" b="22860"/>
                  <wp:docPr id="5" name="Picture 5"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out"/>
                          <pic:cNvPicPr>
                            <a:picLocks noChangeAspect="1" noChangeArrowheads="1"/>
                          </pic:cNvPicPr>
                        </pic:nvPicPr>
                        <pic:blipFill>
                          <a:blip r:embed="rId13" cstate="print">
                            <a:extLst>
                              <a:ext uri="{28A0092B-C50C-407E-A947-70E740481C1C}">
                                <a14:useLocalDpi xmlns:a14="http://schemas.microsoft.com/office/drawing/2010/main" val="0"/>
                              </a:ext>
                            </a:extLst>
                          </a:blip>
                          <a:srcRect l="10887" t="12743" r="18326" b="29286"/>
                          <a:stretch>
                            <a:fillRect/>
                          </a:stretch>
                        </pic:blipFill>
                        <pic:spPr bwMode="auto">
                          <a:xfrm>
                            <a:off x="0" y="0"/>
                            <a:ext cx="3562425" cy="4127500"/>
                          </a:xfrm>
                          <a:prstGeom prst="rect">
                            <a:avLst/>
                          </a:prstGeom>
                          <a:noFill/>
                          <a:ln w="6350" cmpd="sng">
                            <a:solidFill>
                              <a:srgbClr val="000000"/>
                            </a:solidFill>
                            <a:miter lim="800000"/>
                            <a:headEnd/>
                            <a:tailEnd/>
                          </a:ln>
                          <a:effectLst/>
                        </pic:spPr>
                      </pic:pic>
                    </a:graphicData>
                  </a:graphic>
                </wp:inline>
              </w:drawing>
            </w:r>
          </w:p>
          <w:p w14:paraId="129555BE" w14:textId="140F2F0B" w:rsidR="008B7931" w:rsidRDefault="008B7931" w:rsidP="008B7931">
            <w:r>
              <w:t>First version of Body Mask Index (highly structured)</w:t>
            </w:r>
          </w:p>
        </w:tc>
      </w:tr>
    </w:tbl>
    <w:p w14:paraId="49DB224A" w14:textId="77777777" w:rsidR="008B7931" w:rsidRDefault="008B7931" w:rsidP="008B7931"/>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tblGrid>
      <w:tr w:rsidR="008B7931" w14:paraId="18F6A8B6" w14:textId="77777777" w:rsidTr="008B7931">
        <w:trPr>
          <w:jc w:val="center"/>
        </w:trPr>
        <w:tc>
          <w:tcPr>
            <w:tcW w:w="8440" w:type="dxa"/>
          </w:tcPr>
          <w:p w14:paraId="09B18639" w14:textId="77777777" w:rsidR="008B7931" w:rsidRDefault="008B7931" w:rsidP="008B7931">
            <w:pPr>
              <w:jc w:val="center"/>
            </w:pPr>
            <w:r>
              <w:rPr>
                <w:noProof/>
                <w:lang w:val="en-US" w:eastAsia="nl-NL"/>
              </w:rPr>
              <w:lastRenderedPageBreak/>
              <w:drawing>
                <wp:inline distT="0" distB="0" distL="0" distR="0" wp14:anchorId="3E5AFF4F" wp14:editId="44015DBB">
                  <wp:extent cx="4114800" cy="2235200"/>
                  <wp:effectExtent l="19050" t="19050" r="19050" b="12700"/>
                  <wp:docPr id="12" name="Picture 6"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u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90" t="59520" r="10291" b="9414"/>
                          <a:stretch/>
                        </pic:blipFill>
                        <pic:spPr bwMode="auto">
                          <a:xfrm>
                            <a:off x="0" y="0"/>
                            <a:ext cx="4120243" cy="223815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1EBAF2" w14:textId="16277B45" w:rsidR="008B7931" w:rsidRDefault="008B7931" w:rsidP="00D93239">
            <w:r>
              <w:t>Second version of Body Mask Index</w:t>
            </w:r>
            <w:r>
              <w:t xml:space="preserve"> (structure is responsibility for student)</w:t>
            </w:r>
          </w:p>
        </w:tc>
      </w:tr>
    </w:tbl>
    <w:p w14:paraId="6EE9E1C3" w14:textId="7D0B4871" w:rsidR="003E6024" w:rsidRDefault="003E6024" w:rsidP="001B131E"/>
    <w:p w14:paraId="60A6CC50" w14:textId="51E99DEC" w:rsidR="001F35E9" w:rsidRPr="006065DA" w:rsidRDefault="001F35E9" w:rsidP="007657F3">
      <w:pPr>
        <w:pStyle w:val="Kop3"/>
        <w:numPr>
          <w:ilvl w:val="0"/>
          <w:numId w:val="46"/>
        </w:numPr>
        <w:rPr>
          <w:lang w:val="en-US"/>
        </w:rPr>
      </w:pPr>
      <w:r w:rsidRPr="006065DA">
        <w:rPr>
          <w:lang w:val="en-US"/>
        </w:rPr>
        <w:t xml:space="preserve">Drug </w:t>
      </w:r>
      <w:r w:rsidR="007578DF">
        <w:rPr>
          <w:lang w:val="en-US"/>
        </w:rPr>
        <w:t>Con</w:t>
      </w:r>
      <w:r w:rsidR="007657F3">
        <w:rPr>
          <w:lang w:val="en-US"/>
        </w:rPr>
        <w:t>cen</w:t>
      </w:r>
      <w:r w:rsidR="007578DF">
        <w:rPr>
          <w:lang w:val="en-US"/>
        </w:rPr>
        <w:t>tration</w:t>
      </w:r>
    </w:p>
    <w:p w14:paraId="79F90255" w14:textId="77777777" w:rsidR="001F35E9" w:rsidRPr="006065DA" w:rsidRDefault="001F35E9">
      <w:pPr>
        <w:pStyle w:val="Lijstalinea"/>
        <w:ind w:left="0"/>
        <w:rPr>
          <w:lang w:val="en-US"/>
        </w:rPr>
      </w:pPr>
    </w:p>
    <w:p w14:paraId="295DA522" w14:textId="2D1EE575" w:rsidR="001F35E9" w:rsidRPr="006065DA" w:rsidRDefault="001F35E9">
      <w:pPr>
        <w:pStyle w:val="Lijstalinea"/>
        <w:ind w:left="0"/>
        <w:rPr>
          <w:lang w:val="en-US"/>
        </w:rPr>
      </w:pPr>
      <w:r w:rsidRPr="006065DA">
        <w:rPr>
          <w:lang w:val="en-US"/>
        </w:rPr>
        <w:t>T</w:t>
      </w:r>
      <w:r w:rsidR="007657F3">
        <w:rPr>
          <w:lang w:val="en-US"/>
        </w:rPr>
        <w:t>hese t</w:t>
      </w:r>
      <w:r w:rsidRPr="006065DA">
        <w:rPr>
          <w:lang w:val="en-US"/>
        </w:rPr>
        <w:t xml:space="preserve">wo versions of </w:t>
      </w:r>
      <w:r w:rsidR="007657F3">
        <w:rPr>
          <w:lang w:val="en-US"/>
        </w:rPr>
        <w:t>a similar</w:t>
      </w:r>
      <w:r w:rsidRPr="006065DA">
        <w:rPr>
          <w:lang w:val="en-US"/>
        </w:rPr>
        <w:t xml:space="preserve"> task</w:t>
      </w:r>
      <w:r w:rsidR="007657F3">
        <w:rPr>
          <w:lang w:val="en-US"/>
        </w:rPr>
        <w:t xml:space="preserve"> show how a task can be redesigned to support IBL and to connect  to the </w:t>
      </w:r>
      <w:r w:rsidR="006121E9">
        <w:rPr>
          <w:lang w:val="en-US"/>
        </w:rPr>
        <w:t xml:space="preserve">World </w:t>
      </w:r>
      <w:r w:rsidR="007657F3">
        <w:rPr>
          <w:lang w:val="en-US"/>
        </w:rPr>
        <w:t xml:space="preserve">of </w:t>
      </w:r>
      <w:r w:rsidR="006121E9">
        <w:rPr>
          <w:lang w:val="en-US"/>
        </w:rPr>
        <w:t>Work</w:t>
      </w:r>
      <w:r w:rsidR="006065DA">
        <w:rPr>
          <w:lang w:val="en-US"/>
        </w:rPr>
        <w:t>.</w:t>
      </w:r>
      <w:r w:rsidR="007657F3">
        <w:rPr>
          <w:lang w:val="en-US"/>
        </w:rPr>
        <w:t xml:space="preserve"> The second version of the task does not provide the </w:t>
      </w:r>
      <w:r w:rsidR="005A407F">
        <w:rPr>
          <w:lang w:val="en-US"/>
        </w:rPr>
        <w:t>sub-</w:t>
      </w:r>
      <w:r w:rsidR="007657F3">
        <w:rPr>
          <w:lang w:val="en-US"/>
        </w:rPr>
        <w:t xml:space="preserve">questions that guide the students along the solution process. In addition, it asks for a clear product that provides a purpose and connects to a workplace practice. The flyer can be used to </w:t>
      </w:r>
      <w:r w:rsidR="00D91057">
        <w:rPr>
          <w:lang w:val="en-US"/>
        </w:rPr>
        <w:t>have the students give each other feedback on the result of the activity.</w:t>
      </w:r>
    </w:p>
    <w:p w14:paraId="0894C021" w14:textId="77777777" w:rsidR="001F35E9" w:rsidRPr="006065DA" w:rsidRDefault="001F35E9">
      <w:pPr>
        <w:pStyle w:val="Lijstalinea"/>
        <w:ind w:left="0"/>
        <w:rPr>
          <w:lang w:val="en-US"/>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5128"/>
      </w:tblGrid>
      <w:tr w:rsidR="006065DA" w:rsidRPr="006065DA" w14:paraId="533B19F7" w14:textId="77777777" w:rsidTr="007657F3">
        <w:trPr>
          <w:trHeight w:val="246"/>
        </w:trPr>
        <w:tc>
          <w:tcPr>
            <w:tcW w:w="4307" w:type="dxa"/>
          </w:tcPr>
          <w:p w14:paraId="6ECEC9AB" w14:textId="22928325" w:rsidR="006065DA" w:rsidRPr="006065DA" w:rsidRDefault="006065DA" w:rsidP="006065DA">
            <w:pPr>
              <w:pStyle w:val="Lijstalinea"/>
              <w:ind w:left="0"/>
              <w:jc w:val="center"/>
              <w:rPr>
                <w:rFonts w:asciiTheme="minorHAnsi" w:hAnsiTheme="minorHAnsi" w:cstheme="minorHAnsi"/>
                <w:b/>
                <w:sz w:val="20"/>
                <w:lang w:val="en-US"/>
              </w:rPr>
            </w:pPr>
            <w:r w:rsidRPr="006065DA">
              <w:rPr>
                <w:rFonts w:asciiTheme="minorHAnsi" w:hAnsiTheme="minorHAnsi" w:cstheme="minorHAnsi"/>
                <w:b/>
                <w:sz w:val="20"/>
                <w:lang w:val="en-US"/>
              </w:rPr>
              <w:t>A structured version of the task</w:t>
            </w:r>
          </w:p>
        </w:tc>
        <w:tc>
          <w:tcPr>
            <w:tcW w:w="5207" w:type="dxa"/>
          </w:tcPr>
          <w:p w14:paraId="0E1B954B" w14:textId="5B7CD043" w:rsidR="006065DA" w:rsidRPr="006065DA" w:rsidRDefault="006065DA" w:rsidP="006065DA">
            <w:pPr>
              <w:pStyle w:val="Lijstalinea"/>
              <w:ind w:left="0"/>
              <w:jc w:val="center"/>
              <w:rPr>
                <w:rFonts w:asciiTheme="minorHAnsi" w:hAnsiTheme="minorHAnsi" w:cstheme="minorHAnsi"/>
                <w:b/>
                <w:sz w:val="20"/>
                <w:lang w:val="en-US"/>
              </w:rPr>
            </w:pPr>
            <w:r w:rsidRPr="006065DA">
              <w:rPr>
                <w:rFonts w:asciiTheme="minorHAnsi" w:hAnsiTheme="minorHAnsi" w:cstheme="minorHAnsi"/>
                <w:b/>
                <w:sz w:val="20"/>
                <w:lang w:val="en-US"/>
              </w:rPr>
              <w:t>A version for IBL and connecting the task to the WoW</w:t>
            </w:r>
            <w:r w:rsidR="007578DF">
              <w:rPr>
                <w:rStyle w:val="Voetnootmarkering"/>
                <w:rFonts w:asciiTheme="minorHAnsi" w:hAnsiTheme="minorHAnsi"/>
                <w:b/>
                <w:sz w:val="20"/>
                <w:lang w:val="en-US"/>
              </w:rPr>
              <w:footnoteReference w:id="8"/>
            </w:r>
          </w:p>
        </w:tc>
      </w:tr>
      <w:tr w:rsidR="006065DA" w:rsidRPr="006065DA" w14:paraId="4E729284" w14:textId="77777777" w:rsidTr="007657F3">
        <w:trPr>
          <w:trHeight w:val="4674"/>
        </w:trPr>
        <w:tc>
          <w:tcPr>
            <w:tcW w:w="4307" w:type="dxa"/>
          </w:tcPr>
          <w:p w14:paraId="1D5FE9A8" w14:textId="3C3F7D50" w:rsidR="006065DA" w:rsidRPr="006065DA" w:rsidRDefault="006065DA" w:rsidP="00842772">
            <w:pPr>
              <w:pStyle w:val="Lijstalinea"/>
              <w:ind w:left="0"/>
              <w:rPr>
                <w:lang w:val="en-US"/>
              </w:rPr>
            </w:pPr>
            <w:r w:rsidRPr="006065DA">
              <w:rPr>
                <w:noProof/>
                <w:lang w:val="en-US" w:eastAsia="nl-NL"/>
              </w:rPr>
              <w:drawing>
                <wp:inline distT="0" distB="0" distL="0" distR="0" wp14:anchorId="6AB72D78" wp14:editId="1364A64E">
                  <wp:extent cx="2643554" cy="2958789"/>
                  <wp:effectExtent l="19050" t="19050" r="2349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44364" cy="2959696"/>
                          </a:xfrm>
                          <a:prstGeom prst="rect">
                            <a:avLst/>
                          </a:prstGeom>
                          <a:ln>
                            <a:solidFill>
                              <a:schemeClr val="tx1"/>
                            </a:solidFill>
                          </a:ln>
                        </pic:spPr>
                      </pic:pic>
                    </a:graphicData>
                  </a:graphic>
                </wp:inline>
              </w:drawing>
            </w:r>
          </w:p>
        </w:tc>
        <w:tc>
          <w:tcPr>
            <w:tcW w:w="5207" w:type="dxa"/>
          </w:tcPr>
          <w:p w14:paraId="03938C1B" w14:textId="69FB5555" w:rsidR="006065DA" w:rsidRPr="006065DA" w:rsidRDefault="007657F3" w:rsidP="00842772">
            <w:pPr>
              <w:pStyle w:val="Lijstalinea"/>
              <w:ind w:left="0"/>
              <w:rPr>
                <w:noProof/>
                <w:lang w:val="en-US" w:eastAsia="nl-NL"/>
              </w:rPr>
            </w:pPr>
            <w:r>
              <w:rPr>
                <w:noProof/>
                <w:lang w:val="en-US" w:eastAsia="nl-NL"/>
              </w:rPr>
              <w:drawing>
                <wp:inline distT="0" distB="0" distL="0" distR="0" wp14:anchorId="6A05984F" wp14:editId="1C35A3F7">
                  <wp:extent cx="3097322" cy="2848707"/>
                  <wp:effectExtent l="19050" t="19050" r="2730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2943" cy="2844679"/>
                          </a:xfrm>
                          <a:prstGeom prst="rect">
                            <a:avLst/>
                          </a:prstGeom>
                          <a:ln>
                            <a:solidFill>
                              <a:schemeClr val="tx1"/>
                            </a:solidFill>
                          </a:ln>
                        </pic:spPr>
                      </pic:pic>
                    </a:graphicData>
                  </a:graphic>
                </wp:inline>
              </w:drawing>
            </w:r>
          </w:p>
        </w:tc>
      </w:tr>
    </w:tbl>
    <w:p w14:paraId="5C4B8684" w14:textId="77777777" w:rsidR="001F35E9" w:rsidRPr="006065DA" w:rsidRDefault="001F35E9">
      <w:pPr>
        <w:pStyle w:val="Lijstalinea"/>
        <w:ind w:left="0"/>
        <w:rPr>
          <w:lang w:val="en-US"/>
        </w:rPr>
      </w:pPr>
    </w:p>
    <w:p w14:paraId="559DB7AB" w14:textId="77777777" w:rsidR="001F35E9" w:rsidRPr="006065DA" w:rsidRDefault="001F35E9">
      <w:pPr>
        <w:pStyle w:val="Lijstalinea"/>
        <w:ind w:left="0"/>
        <w:rPr>
          <w:lang w:val="en-US"/>
        </w:rPr>
      </w:pPr>
    </w:p>
    <w:p w14:paraId="421FFAAB" w14:textId="44FC0794" w:rsidR="000C5334" w:rsidRDefault="0090666E" w:rsidP="000C5334">
      <w:pPr>
        <w:pStyle w:val="Lijstalinea"/>
        <w:ind w:left="0"/>
        <w:rPr>
          <w:lang w:val="en-US"/>
        </w:rPr>
      </w:pPr>
      <w:r w:rsidRPr="006065DA">
        <w:rPr>
          <w:lang w:val="en-US"/>
        </w:rPr>
        <w:br w:type="page"/>
      </w:r>
      <w:r w:rsidR="000C5334">
        <w:rPr>
          <w:lang w:val="en-US"/>
        </w:rPr>
        <w:lastRenderedPageBreak/>
        <w:t xml:space="preserve">The second version gives less information about how the students will arrive at a final product. </w:t>
      </w:r>
      <w:r w:rsidR="00700FB8">
        <w:rPr>
          <w:lang w:val="en-US"/>
        </w:rPr>
        <w:t>T</w:t>
      </w:r>
      <w:r w:rsidR="000C5334">
        <w:rPr>
          <w:lang w:val="en-US"/>
        </w:rPr>
        <w:t>eacher</w:t>
      </w:r>
      <w:r w:rsidR="00700FB8">
        <w:rPr>
          <w:lang w:val="en-US"/>
        </w:rPr>
        <w:t>s</w:t>
      </w:r>
      <w:r w:rsidR="000C5334">
        <w:rPr>
          <w:lang w:val="en-US"/>
        </w:rPr>
        <w:t xml:space="preserve"> need to think in advance</w:t>
      </w:r>
      <w:r w:rsidR="00700FB8">
        <w:rPr>
          <w:lang w:val="en-US"/>
        </w:rPr>
        <w:t xml:space="preserve"> on</w:t>
      </w:r>
      <w:r w:rsidR="000C5334">
        <w:rPr>
          <w:lang w:val="en-US"/>
        </w:rPr>
        <w:t xml:space="preserve"> how to scaffold their inquiry process. An example lesson plan for the IBL</w:t>
      </w:r>
      <w:r w:rsidR="00700FB8">
        <w:rPr>
          <w:lang w:val="en-US"/>
        </w:rPr>
        <w:t xml:space="preserve"> </w:t>
      </w:r>
      <w:r w:rsidR="000C5334">
        <w:rPr>
          <w:lang w:val="en-US"/>
        </w:rPr>
        <w:t>activity is:</w:t>
      </w:r>
    </w:p>
    <w:p w14:paraId="5FE05BEB" w14:textId="77777777" w:rsidR="000C5334" w:rsidRDefault="000C5334" w:rsidP="000C5334">
      <w:pPr>
        <w:pStyle w:val="Lijstalinea"/>
        <w:ind w:left="0"/>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tblGrid>
      <w:tr w:rsidR="000C5334" w14:paraId="7024E9BB" w14:textId="77777777" w:rsidTr="0094788C">
        <w:tc>
          <w:tcPr>
            <w:tcW w:w="8440" w:type="dxa"/>
          </w:tcPr>
          <w:p w14:paraId="3D33327E" w14:textId="77777777" w:rsidR="000C5334" w:rsidRDefault="000C5334" w:rsidP="0094788C">
            <w:pPr>
              <w:pStyle w:val="Lijstalinea"/>
              <w:ind w:left="0"/>
              <w:rPr>
                <w:lang w:val="en-US"/>
              </w:rPr>
            </w:pPr>
            <w:r>
              <w:rPr>
                <w:noProof/>
                <w:lang w:val="en-US" w:eastAsia="nl-NL"/>
              </w:rPr>
              <w:drawing>
                <wp:inline distT="0" distB="0" distL="0" distR="0" wp14:anchorId="2C177AB1" wp14:editId="1BCA9E10">
                  <wp:extent cx="4091353" cy="2014642"/>
                  <wp:effectExtent l="19050" t="19050" r="2349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89018" cy="2013492"/>
                          </a:xfrm>
                          <a:prstGeom prst="rect">
                            <a:avLst/>
                          </a:prstGeom>
                          <a:ln>
                            <a:solidFill>
                              <a:schemeClr val="tx1"/>
                            </a:solidFill>
                          </a:ln>
                        </pic:spPr>
                      </pic:pic>
                    </a:graphicData>
                  </a:graphic>
                </wp:inline>
              </w:drawing>
            </w:r>
          </w:p>
        </w:tc>
      </w:tr>
    </w:tbl>
    <w:p w14:paraId="58B01757" w14:textId="715F05DE" w:rsidR="0090666E" w:rsidRDefault="0090666E" w:rsidP="000041E5">
      <w:pPr>
        <w:pStyle w:val="Kop3"/>
        <w:numPr>
          <w:ilvl w:val="0"/>
          <w:numId w:val="46"/>
        </w:numPr>
        <w:rPr>
          <w:lang w:val="nl-NL"/>
        </w:rPr>
      </w:pPr>
      <w:r>
        <w:rPr>
          <w:lang w:val="nl-NL"/>
        </w:rPr>
        <w:t>Brine</w:t>
      </w:r>
      <w:r w:rsidR="005B2619">
        <w:rPr>
          <w:rStyle w:val="Voetnootmarkering"/>
          <w:lang w:val="nl-NL"/>
        </w:rPr>
        <w:footnoteReference w:id="9"/>
      </w:r>
    </w:p>
    <w:p w14:paraId="6A592527" w14:textId="0A87E0DF" w:rsidR="005D6C36" w:rsidRPr="000041E5" w:rsidRDefault="000041E5">
      <w:pPr>
        <w:pStyle w:val="Lijstalinea"/>
        <w:ind w:left="0"/>
        <w:rPr>
          <w:lang w:val="en-US"/>
        </w:rPr>
      </w:pPr>
      <w:r w:rsidRPr="000041E5">
        <w:rPr>
          <w:lang w:val="en-US"/>
        </w:rPr>
        <w:t xml:space="preserve">This example provides three versions of a task </w:t>
      </w:r>
      <w:r>
        <w:rPr>
          <w:lang w:val="en-US"/>
        </w:rPr>
        <w:t>that show how a structured version of a task can be redesi</w:t>
      </w:r>
      <w:r w:rsidR="00805ACE">
        <w:rPr>
          <w:lang w:val="en-US"/>
        </w:rPr>
        <w:t>gned into a task supporting IBL</w:t>
      </w:r>
      <w:r>
        <w:rPr>
          <w:lang w:val="en-US"/>
        </w:rPr>
        <w:t xml:space="preserve"> by deleting the </w:t>
      </w:r>
      <w:r w:rsidR="005A407F">
        <w:rPr>
          <w:lang w:val="en-US"/>
        </w:rPr>
        <w:t>sub-</w:t>
      </w:r>
      <w:r>
        <w:rPr>
          <w:lang w:val="en-US"/>
        </w:rPr>
        <w:t>tasks</w:t>
      </w:r>
      <w:r w:rsidR="00805ACE">
        <w:rPr>
          <w:lang w:val="en-US"/>
        </w:rPr>
        <w:t xml:space="preserve"> and having the students </w:t>
      </w:r>
      <w:r w:rsidR="008960A9">
        <w:rPr>
          <w:lang w:val="en-US"/>
        </w:rPr>
        <w:t xml:space="preserve">themselves </w:t>
      </w:r>
      <w:r w:rsidR="00805ACE">
        <w:rPr>
          <w:lang w:val="en-US"/>
        </w:rPr>
        <w:t>think of the equipment that can be used. Finally</w:t>
      </w:r>
      <w:r>
        <w:rPr>
          <w:lang w:val="en-US"/>
        </w:rPr>
        <w:t xml:space="preserve">, </w:t>
      </w:r>
      <w:r w:rsidR="00805ACE">
        <w:rPr>
          <w:lang w:val="en-US"/>
        </w:rPr>
        <w:t>the alternative introduction of the task shows</w:t>
      </w:r>
      <w:r>
        <w:rPr>
          <w:lang w:val="en-US"/>
        </w:rPr>
        <w:t xml:space="preserve"> </w:t>
      </w:r>
      <w:r w:rsidR="00805ACE">
        <w:rPr>
          <w:lang w:val="en-US"/>
        </w:rPr>
        <w:t xml:space="preserve">how </w:t>
      </w:r>
      <w:r w:rsidR="005A407F">
        <w:rPr>
          <w:lang w:val="en-US"/>
        </w:rPr>
        <w:t>it</w:t>
      </w:r>
      <w:r>
        <w:rPr>
          <w:lang w:val="en-US"/>
        </w:rPr>
        <w:t xml:space="preserve"> can be </w:t>
      </w:r>
      <w:r w:rsidR="00805ACE">
        <w:rPr>
          <w:lang w:val="en-US"/>
        </w:rPr>
        <w:t xml:space="preserve">connected to the </w:t>
      </w:r>
      <w:r w:rsidR="006121E9">
        <w:rPr>
          <w:lang w:val="en-US"/>
        </w:rPr>
        <w:t xml:space="preserve">World </w:t>
      </w:r>
      <w:r w:rsidR="00805ACE">
        <w:rPr>
          <w:lang w:val="en-US"/>
        </w:rPr>
        <w:t xml:space="preserve">of </w:t>
      </w:r>
      <w:r w:rsidR="006121E9">
        <w:rPr>
          <w:lang w:val="en-US"/>
        </w:rPr>
        <w:t xml:space="preserve">Work </w:t>
      </w:r>
      <w:r>
        <w:rPr>
          <w:lang w:val="en-US"/>
        </w:rPr>
        <w:t xml:space="preserve">by including a workplace practice, providing a </w:t>
      </w:r>
      <w:r w:rsidR="005A407F">
        <w:rPr>
          <w:lang w:val="en-US"/>
        </w:rPr>
        <w:t xml:space="preserve">practitioner’s </w:t>
      </w:r>
      <w:r>
        <w:rPr>
          <w:lang w:val="en-US"/>
        </w:rPr>
        <w:t>role and asking for a clear product.</w:t>
      </w:r>
    </w:p>
    <w:p w14:paraId="5D029576" w14:textId="77777777" w:rsidR="000041E5" w:rsidRPr="000041E5" w:rsidRDefault="000041E5">
      <w:pPr>
        <w:pStyle w:val="Lijstalinea"/>
        <w:ind w:left="0"/>
        <w:rPr>
          <w:lang w:val="en-US"/>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686"/>
      </w:tblGrid>
      <w:tr w:rsidR="001E3A27" w14:paraId="306AE3C2" w14:textId="77777777" w:rsidTr="001E3A27">
        <w:tc>
          <w:tcPr>
            <w:tcW w:w="0" w:type="auto"/>
          </w:tcPr>
          <w:p w14:paraId="7F6A9269" w14:textId="5D535C3D" w:rsidR="001E3A27" w:rsidRPr="002D1527" w:rsidRDefault="001E3A27" w:rsidP="001E3A27">
            <w:pPr>
              <w:pStyle w:val="Lijstalinea"/>
              <w:ind w:left="0"/>
              <w:jc w:val="center"/>
              <w:rPr>
                <w:rFonts w:asciiTheme="minorHAnsi" w:hAnsiTheme="minorHAnsi" w:cstheme="minorHAnsi"/>
                <w:b/>
                <w:noProof/>
                <w:sz w:val="20"/>
                <w:lang w:val="en-US" w:eastAsia="nl-NL"/>
              </w:rPr>
            </w:pPr>
            <w:r w:rsidRPr="002D1527">
              <w:rPr>
                <w:rFonts w:asciiTheme="minorHAnsi" w:hAnsiTheme="minorHAnsi" w:cstheme="minorHAnsi"/>
                <w:b/>
                <w:noProof/>
                <w:sz w:val="20"/>
                <w:lang w:val="en-US" w:eastAsia="nl-NL"/>
              </w:rPr>
              <w:t>Structured version of the Brines</w:t>
            </w:r>
            <w:r w:rsidR="005A407F">
              <w:rPr>
                <w:rFonts w:asciiTheme="minorHAnsi" w:hAnsiTheme="minorHAnsi" w:cstheme="minorHAnsi"/>
                <w:b/>
                <w:noProof/>
                <w:sz w:val="20"/>
                <w:lang w:val="en-US" w:eastAsia="nl-NL"/>
              </w:rPr>
              <w:t xml:space="preserve"> </w:t>
            </w:r>
            <w:r w:rsidRPr="002D1527">
              <w:rPr>
                <w:rFonts w:asciiTheme="minorHAnsi" w:hAnsiTheme="minorHAnsi" w:cstheme="minorHAnsi"/>
                <w:b/>
                <w:noProof/>
                <w:sz w:val="20"/>
                <w:lang w:val="en-US" w:eastAsia="nl-NL"/>
              </w:rPr>
              <w:t>task</w:t>
            </w:r>
          </w:p>
          <w:p w14:paraId="0A0CA344" w14:textId="4488648D" w:rsidR="001E3A27" w:rsidRPr="002D1527" w:rsidRDefault="001E3A27" w:rsidP="001E3A27">
            <w:pPr>
              <w:pStyle w:val="Lijstalinea"/>
              <w:ind w:left="0"/>
              <w:jc w:val="center"/>
              <w:rPr>
                <w:rFonts w:asciiTheme="minorHAnsi" w:hAnsiTheme="minorHAnsi" w:cstheme="minorHAnsi"/>
                <w:b/>
                <w:noProof/>
                <w:sz w:val="10"/>
                <w:lang w:val="en-US" w:eastAsia="nl-NL"/>
              </w:rPr>
            </w:pPr>
          </w:p>
        </w:tc>
        <w:tc>
          <w:tcPr>
            <w:tcW w:w="0" w:type="auto"/>
          </w:tcPr>
          <w:p w14:paraId="21E02EAA" w14:textId="7B54BD30" w:rsidR="001E3A27" w:rsidRPr="002D1527" w:rsidRDefault="001E3A27" w:rsidP="001E3A27">
            <w:pPr>
              <w:pStyle w:val="Lijstalinea"/>
              <w:ind w:left="0"/>
              <w:jc w:val="center"/>
              <w:rPr>
                <w:rFonts w:asciiTheme="minorHAnsi" w:hAnsiTheme="minorHAnsi" w:cstheme="minorHAnsi"/>
                <w:b/>
                <w:noProof/>
                <w:sz w:val="20"/>
                <w:lang w:val="en-US" w:eastAsia="nl-NL"/>
              </w:rPr>
            </w:pPr>
            <w:r w:rsidRPr="002D1527">
              <w:rPr>
                <w:rFonts w:asciiTheme="minorHAnsi" w:hAnsiTheme="minorHAnsi" w:cstheme="minorHAnsi"/>
                <w:b/>
                <w:noProof/>
                <w:sz w:val="20"/>
                <w:lang w:val="en-US" w:eastAsia="nl-NL"/>
              </w:rPr>
              <w:t>A version of the Brines task supporting IBL</w:t>
            </w:r>
          </w:p>
        </w:tc>
      </w:tr>
      <w:tr w:rsidR="001E3A27" w14:paraId="438BAB86" w14:textId="0C12A60F" w:rsidTr="001E3A27">
        <w:trPr>
          <w:trHeight w:val="5866"/>
        </w:trPr>
        <w:tc>
          <w:tcPr>
            <w:tcW w:w="0" w:type="auto"/>
          </w:tcPr>
          <w:p w14:paraId="79B583BC" w14:textId="6D3B2F9C" w:rsidR="001E3A27" w:rsidRDefault="001E3A27">
            <w:pPr>
              <w:pStyle w:val="Lijstalinea"/>
              <w:ind w:left="0"/>
              <w:rPr>
                <w:lang w:val="nl-NL"/>
              </w:rPr>
            </w:pPr>
            <w:r>
              <w:rPr>
                <w:noProof/>
                <w:lang w:val="en-US" w:eastAsia="nl-NL"/>
              </w:rPr>
              <w:drawing>
                <wp:inline distT="0" distB="0" distL="0" distR="0" wp14:anchorId="129E6F4F" wp14:editId="381B21A1">
                  <wp:extent cx="2895656" cy="3628292"/>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5677" cy="3628318"/>
                          </a:xfrm>
                          <a:prstGeom prst="rect">
                            <a:avLst/>
                          </a:prstGeom>
                          <a:ln>
                            <a:solidFill>
                              <a:schemeClr val="tx1"/>
                            </a:solidFill>
                          </a:ln>
                        </pic:spPr>
                      </pic:pic>
                    </a:graphicData>
                  </a:graphic>
                </wp:inline>
              </w:drawing>
            </w:r>
          </w:p>
        </w:tc>
        <w:tc>
          <w:tcPr>
            <w:tcW w:w="0" w:type="auto"/>
          </w:tcPr>
          <w:p w14:paraId="4279480C" w14:textId="5FBDD0D8" w:rsidR="001E3A27" w:rsidRDefault="001E3A27">
            <w:pPr>
              <w:pStyle w:val="Lijstalinea"/>
              <w:ind w:left="0"/>
              <w:rPr>
                <w:noProof/>
                <w:lang w:val="nl-NL" w:eastAsia="nl-NL"/>
              </w:rPr>
            </w:pPr>
            <w:r>
              <w:rPr>
                <w:noProof/>
                <w:lang w:val="en-US" w:eastAsia="nl-NL"/>
              </w:rPr>
              <w:drawing>
                <wp:inline distT="0" distB="0" distL="0" distR="0" wp14:anchorId="1001CED4" wp14:editId="7ABD7D44">
                  <wp:extent cx="2797658" cy="3628293"/>
                  <wp:effectExtent l="19050" t="19050" r="2222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7700" cy="3628348"/>
                          </a:xfrm>
                          <a:prstGeom prst="rect">
                            <a:avLst/>
                          </a:prstGeom>
                          <a:ln>
                            <a:solidFill>
                              <a:schemeClr val="tx1"/>
                            </a:solidFill>
                          </a:ln>
                        </pic:spPr>
                      </pic:pic>
                    </a:graphicData>
                  </a:graphic>
                </wp:inline>
              </w:drawing>
            </w:r>
          </w:p>
        </w:tc>
      </w:tr>
    </w:tbl>
    <w:p w14:paraId="71368328" w14:textId="77777777" w:rsidR="0090666E" w:rsidRDefault="0090666E">
      <w:pPr>
        <w:pStyle w:val="Lijstalinea"/>
        <w:ind w:left="0"/>
        <w:rPr>
          <w:lang w:val="nl-NL"/>
        </w:rPr>
      </w:pPr>
    </w:p>
    <w:p w14:paraId="5A8AB0F5" w14:textId="77777777" w:rsidR="005D6C36" w:rsidRDefault="005D6C36">
      <w:pPr>
        <w:pStyle w:val="Lijstalinea"/>
        <w:ind w:left="0"/>
        <w:rPr>
          <w:lang w:val="nl-NL"/>
        </w:rPr>
      </w:pPr>
    </w:p>
    <w:p w14:paraId="22852E97" w14:textId="77777777" w:rsidR="005D6C36" w:rsidRDefault="005D6C36">
      <w:pPr>
        <w:pStyle w:val="Lijstalinea"/>
        <w:ind w:left="0"/>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tblGrid>
      <w:tr w:rsidR="001E3A27" w14:paraId="364F159A" w14:textId="77777777" w:rsidTr="001F35E9">
        <w:trPr>
          <w:trHeight w:val="249"/>
        </w:trPr>
        <w:tc>
          <w:tcPr>
            <w:tcW w:w="7480" w:type="dxa"/>
          </w:tcPr>
          <w:p w14:paraId="1E36C5CD" w14:textId="62068280" w:rsidR="001E3A27" w:rsidRPr="001F35E9" w:rsidRDefault="001F35E9" w:rsidP="005A407F">
            <w:pPr>
              <w:pStyle w:val="Lijstalinea"/>
              <w:ind w:left="0"/>
              <w:jc w:val="center"/>
              <w:rPr>
                <w:rFonts w:asciiTheme="minorHAnsi" w:hAnsiTheme="minorHAnsi" w:cstheme="minorHAnsi"/>
                <w:b/>
                <w:sz w:val="20"/>
                <w:lang w:val="en-US"/>
              </w:rPr>
            </w:pPr>
            <w:r w:rsidRPr="001F35E9">
              <w:rPr>
                <w:rFonts w:asciiTheme="minorHAnsi" w:hAnsiTheme="minorHAnsi" w:cstheme="minorHAnsi"/>
                <w:b/>
                <w:sz w:val="20"/>
                <w:lang w:val="en-US"/>
              </w:rPr>
              <w:t>An introduction to the Brines</w:t>
            </w:r>
            <w:r w:rsidR="005A407F">
              <w:rPr>
                <w:rFonts w:asciiTheme="minorHAnsi" w:hAnsiTheme="minorHAnsi" w:cstheme="minorHAnsi"/>
                <w:b/>
                <w:sz w:val="20"/>
                <w:lang w:val="en-US"/>
              </w:rPr>
              <w:t xml:space="preserve"> </w:t>
            </w:r>
            <w:r w:rsidRPr="001F35E9">
              <w:rPr>
                <w:rFonts w:asciiTheme="minorHAnsi" w:hAnsiTheme="minorHAnsi" w:cstheme="minorHAnsi"/>
                <w:b/>
                <w:sz w:val="20"/>
                <w:lang w:val="en-US"/>
              </w:rPr>
              <w:t>task that connects it to the WoW</w:t>
            </w:r>
          </w:p>
        </w:tc>
      </w:tr>
      <w:tr w:rsidR="001E3A27" w14:paraId="7B63A4B1" w14:textId="77777777" w:rsidTr="008B7931">
        <w:trPr>
          <w:trHeight w:val="3300"/>
        </w:trPr>
        <w:tc>
          <w:tcPr>
            <w:tcW w:w="7480" w:type="dxa"/>
          </w:tcPr>
          <w:p w14:paraId="12FC7D67" w14:textId="57D18A65" w:rsidR="001E3A27" w:rsidRPr="002D1527" w:rsidRDefault="001F35E9">
            <w:pPr>
              <w:pStyle w:val="Lijstalinea"/>
              <w:ind w:left="0"/>
              <w:rPr>
                <w:lang w:val="en-US"/>
              </w:rPr>
            </w:pPr>
            <w:r>
              <w:rPr>
                <w:noProof/>
                <w:lang w:val="en-US" w:eastAsia="nl-NL"/>
              </w:rPr>
              <w:drawing>
                <wp:anchor distT="0" distB="0" distL="114300" distR="114300" simplePos="0" relativeHeight="251663360" behindDoc="0" locked="0" layoutInCell="1" allowOverlap="1" wp14:anchorId="219CC989" wp14:editId="482DAE85">
                  <wp:simplePos x="0" y="0"/>
                  <wp:positionH relativeFrom="column">
                    <wp:posOffset>356870</wp:posOffset>
                  </wp:positionH>
                  <wp:positionV relativeFrom="paragraph">
                    <wp:posOffset>34925</wp:posOffset>
                  </wp:positionV>
                  <wp:extent cx="3665220" cy="20783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65220" cy="2078355"/>
                          </a:xfrm>
                          <a:prstGeom prst="rect">
                            <a:avLst/>
                          </a:prstGeom>
                        </pic:spPr>
                      </pic:pic>
                    </a:graphicData>
                  </a:graphic>
                  <wp14:sizeRelH relativeFrom="page">
                    <wp14:pctWidth>0</wp14:pctWidth>
                  </wp14:sizeRelH>
                  <wp14:sizeRelV relativeFrom="page">
                    <wp14:pctHeight>0</wp14:pctHeight>
                  </wp14:sizeRelV>
                </wp:anchor>
              </w:drawing>
            </w:r>
          </w:p>
        </w:tc>
      </w:tr>
    </w:tbl>
    <w:p w14:paraId="5A0A8439" w14:textId="5A0AC688" w:rsidR="00C60F57" w:rsidRDefault="00C60F57" w:rsidP="00B6130D">
      <w:pPr>
        <w:pStyle w:val="Kop2"/>
      </w:pPr>
      <w:bookmarkStart w:id="11" w:name="_Toc389464918"/>
      <w:r>
        <w:t>Format for designing materials</w:t>
      </w:r>
      <w:bookmarkEnd w:id="11"/>
    </w:p>
    <w:p w14:paraId="4B98AC4E" w14:textId="0A66BD10" w:rsidR="00DF2DCD" w:rsidRDefault="008B7931">
      <w:r>
        <w:t>Tasks need to have an attractiv</w:t>
      </w:r>
      <w:r w:rsidR="00B6130D">
        <w:t xml:space="preserve"> layout and format. </w:t>
      </w:r>
      <w:r w:rsidR="00C60F57">
        <w:t xml:space="preserve">In WP6/WP1 a proposal has been made </w:t>
      </w:r>
      <w:r w:rsidR="00B6130D">
        <w:t>for</w:t>
      </w:r>
      <w:r w:rsidR="00C60F57">
        <w:t xml:space="preserve"> a </w:t>
      </w:r>
      <w:r w:rsidR="0094788C">
        <w:rPr>
          <w:i/>
        </w:rPr>
        <w:t>m</w:t>
      </w:r>
      <w:r w:rsidR="0094788C" w:rsidRPr="00FE4F96">
        <w:rPr>
          <w:i/>
        </w:rPr>
        <w:t>ascil</w:t>
      </w:r>
      <w:r w:rsidR="00C60F57">
        <w:t xml:space="preserve"> </w:t>
      </w:r>
      <w:r w:rsidR="00B6130D">
        <w:t>template for tasks</w:t>
      </w:r>
      <w:r w:rsidR="00C60F57">
        <w:t xml:space="preserve"> (Figure 3). This format will be delivered (on the </w:t>
      </w:r>
      <w:r w:rsidR="0094788C">
        <w:rPr>
          <w:i/>
        </w:rPr>
        <w:t>m</w:t>
      </w:r>
      <w:r w:rsidR="0094788C" w:rsidRPr="00FE4F96">
        <w:rPr>
          <w:i/>
        </w:rPr>
        <w:t>ascil</w:t>
      </w:r>
      <w:r w:rsidR="00C60F57">
        <w:t xml:space="preserve"> website) to be used for designing materials within the </w:t>
      </w:r>
      <w:r w:rsidR="0094788C">
        <w:rPr>
          <w:i/>
        </w:rPr>
        <w:t>m</w:t>
      </w:r>
      <w:r w:rsidR="0094788C" w:rsidRPr="00FE4F96">
        <w:rPr>
          <w:i/>
        </w:rPr>
        <w:t>ascil</w:t>
      </w:r>
      <w:r w:rsidR="00C60F57">
        <w:t xml:space="preserve"> project.</w:t>
      </w:r>
    </w:p>
    <w:tbl>
      <w:tblPr>
        <w:tblStyle w:val="Tabelraster"/>
        <w:tblW w:w="8590" w:type="dxa"/>
        <w:tblBorders>
          <w:insideH w:val="none" w:sz="0" w:space="0" w:color="auto"/>
          <w:insideV w:val="none" w:sz="0" w:space="0" w:color="auto"/>
        </w:tblBorders>
        <w:tblLook w:val="04A0" w:firstRow="1" w:lastRow="0" w:firstColumn="1" w:lastColumn="0" w:noHBand="0" w:noVBand="1"/>
      </w:tblPr>
      <w:tblGrid>
        <w:gridCol w:w="8590"/>
      </w:tblGrid>
      <w:tr w:rsidR="00DF2DCD" w14:paraId="45173F0D" w14:textId="77777777" w:rsidTr="003B1AA9">
        <w:trPr>
          <w:trHeight w:val="7562"/>
        </w:trPr>
        <w:tc>
          <w:tcPr>
            <w:tcW w:w="8590" w:type="dxa"/>
          </w:tcPr>
          <w:p w14:paraId="06E61DF0" w14:textId="28B54B54" w:rsidR="00DF2DCD" w:rsidRDefault="00DF2DCD">
            <w:r>
              <w:rPr>
                <w:noProof/>
                <w:lang w:val="en-US" w:eastAsia="nl-NL"/>
              </w:rPr>
              <w:drawing>
                <wp:anchor distT="0" distB="0" distL="114300" distR="114300" simplePos="0" relativeHeight="251665408" behindDoc="0" locked="0" layoutInCell="1" allowOverlap="1" wp14:anchorId="4E178CAA" wp14:editId="6FD6636B">
                  <wp:simplePos x="0" y="0"/>
                  <wp:positionH relativeFrom="margin">
                    <wp:posOffset>1106170</wp:posOffset>
                  </wp:positionH>
                  <wp:positionV relativeFrom="margin">
                    <wp:posOffset>16510</wp:posOffset>
                  </wp:positionV>
                  <wp:extent cx="2917825" cy="4591050"/>
                  <wp:effectExtent l="19050" t="19050" r="15875"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7825" cy="4591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14:paraId="5091F88A" w14:textId="2EC94962" w:rsidR="00C60F57" w:rsidRDefault="00C60F57">
      <w:pPr>
        <w:rPr>
          <w:rFonts w:ascii="Calibri" w:eastAsia="MS Gothic" w:hAnsi="Calibri"/>
          <w:b/>
          <w:bCs/>
          <w:color w:val="345A8A"/>
          <w:sz w:val="20"/>
          <w:szCs w:val="20"/>
        </w:rPr>
      </w:pPr>
      <w:r>
        <w:rPr>
          <w:sz w:val="20"/>
          <w:szCs w:val="20"/>
        </w:rPr>
        <w:t xml:space="preserve">Figure 3: An example template for task-design within the </w:t>
      </w:r>
      <w:r w:rsidR="0094788C">
        <w:rPr>
          <w:i/>
        </w:rPr>
        <w:t>m</w:t>
      </w:r>
      <w:r w:rsidR="0094788C" w:rsidRPr="00FE4F96">
        <w:rPr>
          <w:i/>
        </w:rPr>
        <w:t>ascil</w:t>
      </w:r>
      <w:r w:rsidR="00C82095">
        <w:rPr>
          <w:sz w:val="20"/>
          <w:szCs w:val="20"/>
        </w:rPr>
        <w:t xml:space="preserve"> </w:t>
      </w:r>
      <w:r>
        <w:rPr>
          <w:sz w:val="20"/>
          <w:szCs w:val="20"/>
        </w:rPr>
        <w:t>project</w:t>
      </w:r>
      <w:r>
        <w:rPr>
          <w:sz w:val="20"/>
          <w:szCs w:val="20"/>
        </w:rPr>
        <w:br w:type="page"/>
      </w:r>
    </w:p>
    <w:p w14:paraId="6DF58B6A" w14:textId="77777777" w:rsidR="00883DC5" w:rsidRDefault="00883DC5" w:rsidP="00883DC5">
      <w:pPr>
        <w:pStyle w:val="Kop1"/>
      </w:pPr>
      <w:bookmarkStart w:id="12" w:name="_Toc389464919"/>
      <w:r>
        <w:lastRenderedPageBreak/>
        <w:t>Theoretical background</w:t>
      </w:r>
      <w:bookmarkEnd w:id="12"/>
      <w:r>
        <w:t xml:space="preserve"> </w:t>
      </w:r>
    </w:p>
    <w:p w14:paraId="286475FC" w14:textId="7B11091E" w:rsidR="00883DC5" w:rsidRDefault="00883DC5" w:rsidP="00883DC5">
      <w:pPr>
        <w:rPr>
          <w:rFonts w:cs="Calibri"/>
        </w:rPr>
      </w:pPr>
      <w:r>
        <w:rPr>
          <w:rFonts w:cs="Calibri"/>
        </w:rPr>
        <w:t>The first chapters were written to support the teacher in his daily work. In the current chapter 'Theoretical backgrou</w:t>
      </w:r>
      <w:r w:rsidR="00BC5B89">
        <w:rPr>
          <w:rFonts w:cs="Calibri"/>
        </w:rPr>
        <w:t>n</w:t>
      </w:r>
      <w:r>
        <w:rPr>
          <w:rFonts w:cs="Calibri"/>
        </w:rPr>
        <w:t xml:space="preserve">d' we show that the </w:t>
      </w:r>
      <w:r w:rsidR="00BC5B89">
        <w:rPr>
          <w:rFonts w:cs="Calibri"/>
        </w:rPr>
        <w:t xml:space="preserve">underlying </w:t>
      </w:r>
      <w:r>
        <w:rPr>
          <w:rFonts w:cs="Calibri"/>
        </w:rPr>
        <w:t xml:space="preserve">ideas </w:t>
      </w:r>
      <w:r w:rsidRPr="00057BE4">
        <w:rPr>
          <w:rFonts w:cs="Calibri"/>
        </w:rPr>
        <w:t xml:space="preserve">are grounded in research and relate to the framework that emerged from an analysis of the </w:t>
      </w:r>
      <w:r w:rsidRPr="00FE4F96">
        <w:rPr>
          <w:rFonts w:cs="Calibri"/>
          <w:i/>
        </w:rPr>
        <w:t>mascil</w:t>
      </w:r>
      <w:r>
        <w:rPr>
          <w:rFonts w:cs="Calibri"/>
        </w:rPr>
        <w:t xml:space="preserve"> </w:t>
      </w:r>
      <w:r>
        <w:t xml:space="preserve">(Mathematics and Science for Life) </w:t>
      </w:r>
      <w:r w:rsidRPr="00057BE4">
        <w:rPr>
          <w:rFonts w:cs="Calibri"/>
        </w:rPr>
        <w:t xml:space="preserve"> task collection</w:t>
      </w:r>
      <w:r>
        <w:rPr>
          <w:rStyle w:val="Voetnootmarkering"/>
        </w:rPr>
        <w:footnoteReference w:id="10"/>
      </w:r>
      <w:r w:rsidRPr="00057BE4">
        <w:rPr>
          <w:rFonts w:cs="Calibri"/>
        </w:rPr>
        <w:t>.</w:t>
      </w:r>
    </w:p>
    <w:p w14:paraId="2D2987CD" w14:textId="77777777" w:rsidR="00883DC5" w:rsidRDefault="00883DC5" w:rsidP="00883DC5"/>
    <w:p w14:paraId="7FF25D10" w14:textId="77777777" w:rsidR="00883DC5" w:rsidRDefault="00883DC5" w:rsidP="00883DC5">
      <w:r>
        <w:t xml:space="preserve">Inquiry-based learning (IBL) is defined as being inductive, student-centred and focused on creativity and collaboration (Doorman, 2011). IBL aims to develop and foster inquiring minds and attitudes that are vital for students to face and manage uncertain futures. Fundamentally, IBL is based on students adopting an active, questioning approach. The problems they address are supposed to be experienced as real, they inquire and pose questions themselves, explore problem situations and evaluate results. Learning is driven by open questions and multiple-solution strategies. </w:t>
      </w:r>
    </w:p>
    <w:p w14:paraId="0FE91CE3" w14:textId="73A9F26E" w:rsidR="00883DC5" w:rsidRDefault="00883DC5" w:rsidP="00883DC5">
      <w:r>
        <w:t>Although this model of IBL is student-centred, the learning process is guided and scaffolded by teachers and classroom materials (Hmelo-Silver, Duncan &amp; Chinn, 2007). Our model should not be confused with that of minimal</w:t>
      </w:r>
      <w:r w:rsidR="007C6225">
        <w:t>ly</w:t>
      </w:r>
      <w:r>
        <w:t xml:space="preserve"> guided discovery methods, where the teacher simply presents tasks and expects learners to explore and discover ideas for themselves (Kirschner, Sweller &amp; Clark, 2006). IBL asks for teachers being proactive: they support and encourage students who are struggling, make constructive use of students’ prior knowledge, challenge students through probing questions, manage small group and whole class discussions, encourage discussi</w:t>
      </w:r>
      <w:r w:rsidR="007C6225">
        <w:t>ng</w:t>
      </w:r>
      <w:r>
        <w:t xml:space="preserve"> alternative viewpoints and help students to make connections between their ideas (Crawford, 2000). This is quite an effort and cannot be expected from teachers in every lesson. A message that teachers should therefore take to heart is: </w:t>
      </w:r>
      <w:r>
        <w:br/>
      </w:r>
      <w:r w:rsidRPr="0058750C">
        <w:rPr>
          <w:i/>
        </w:rPr>
        <w:t>You don’t need to change everything. IBL is not a completely different educational practice, but an essential ingredient of good education.</w:t>
      </w:r>
    </w:p>
    <w:p w14:paraId="7D05DD7E" w14:textId="77777777" w:rsidR="00883DC5" w:rsidRDefault="00883DC5" w:rsidP="00883DC5"/>
    <w:p w14:paraId="650F3158" w14:textId="77777777" w:rsidR="00883DC5" w:rsidRDefault="00883DC5" w:rsidP="00883DC5">
      <w:r>
        <w:t xml:space="preserve">IBL is seen to be effective in both primary and secondary education in increasing children’s interest and attainment levels as well as in stimulating teacher motivation (Rocard, 2007; Furtak, Seidel, Iverson &amp; Briggs, 2012; Schroeder et al. 2007). IBL motivates students and enhances learning outcomes.  </w:t>
      </w:r>
    </w:p>
    <w:p w14:paraId="12E4DF81" w14:textId="595AA177" w:rsidR="00883DC5" w:rsidRDefault="00883DC5" w:rsidP="00883DC5">
      <w:r>
        <w:t xml:space="preserve">In order to enforce the benefits of IBL and make science and mathematics more meaningful to students rich vocational contexts will be used in </w:t>
      </w:r>
      <w:r>
        <w:rPr>
          <w:i/>
        </w:rPr>
        <w:t>m</w:t>
      </w:r>
      <w:r w:rsidRPr="00FE4F96">
        <w:rPr>
          <w:i/>
        </w:rPr>
        <w:t>ascil</w:t>
      </w:r>
      <w:r>
        <w:t xml:space="preserve"> tasks, to connect mathematics and science to the WoW. Research supports the use of contexts in science teaching.</w:t>
      </w:r>
      <w:r w:rsidRPr="001772F0">
        <w:t xml:space="preserve"> </w:t>
      </w:r>
      <w:r>
        <w:t xml:space="preserve">Context-based science education does not lead to a decrease in the development of understanding of science, and has considerable benefits in terms of attitudes to school science and of abilities in solving context-based problems (Bennett, Lubben &amp; Hogarth, 2007). The WoW </w:t>
      </w:r>
      <w:r w:rsidR="008C0650">
        <w:t>introduces</w:t>
      </w:r>
      <w:r>
        <w:t xml:space="preserve"> contexts that can be presented as authentic practices</w:t>
      </w:r>
      <w:r w:rsidR="008C0650">
        <w:t>,</w:t>
      </w:r>
      <w:r>
        <w:t xml:space="preserve"> which Gilbert (2006) sees as the most promising model for context-based science education (Prins, 2010; Dierdorp et al., 2010). Research findings show that students experience and understand the functionality, purpose and utility of disciplinary knowledge in the workplace (Ainley, Pratt &amp; Hansen, 2006; Dierdorp, 2010; Mazereeuw, 2013). For this to happen however, it is important that tasks are carefully </w:t>
      </w:r>
      <w:r w:rsidRPr="006715BE">
        <w:t xml:space="preserve">designed and fit the goals of the curriculum. In the context of work the use of </w:t>
      </w:r>
      <w:r w:rsidRPr="006715BE">
        <w:lastRenderedPageBreak/>
        <w:t>science and mathematics</w:t>
      </w:r>
      <w:r>
        <w:t xml:space="preserve"> emerges from the activities and tasks of the workplace (Hoyles </w:t>
      </w:r>
      <w:r w:rsidR="008C0650">
        <w:t xml:space="preserve">&amp; </w:t>
      </w:r>
      <w:r>
        <w:t xml:space="preserve">Noss, 2010). Therefore the teaching materials should reflect authentic practices and experiences related to the World of Work. Finally, the use of rich vocational contexts asks a lot from teachers. They have to master contextual knowledge and skills as well as connecting content-context knowledge and skills. We do not want to suggest that every lesson should be cast in a vocational context, but the starting point for </w:t>
      </w:r>
      <w:r w:rsidRPr="00FE4F96">
        <w:rPr>
          <w:i/>
        </w:rPr>
        <w:t>mascil</w:t>
      </w:r>
      <w:r>
        <w:t xml:space="preserve"> is that these contexts are </w:t>
      </w:r>
      <w:r w:rsidR="008C0650">
        <w:t xml:space="preserve">also </w:t>
      </w:r>
      <w:r>
        <w:t>an important ingredient of good education.</w:t>
      </w:r>
    </w:p>
    <w:p w14:paraId="0AF8AC90" w14:textId="77777777" w:rsidR="00C60F57" w:rsidRDefault="00C60F57">
      <w:pPr>
        <w:pStyle w:val="Kop1"/>
      </w:pPr>
      <w:bookmarkStart w:id="13" w:name="_Toc389464920"/>
      <w:r>
        <w:t>References</w:t>
      </w:r>
      <w:bookmarkEnd w:id="13"/>
    </w:p>
    <w:p w14:paraId="0100CF68" w14:textId="32CFE4BD" w:rsidR="00C60F57" w:rsidRDefault="00C60F57">
      <w:pPr>
        <w:widowControl w:val="0"/>
        <w:autoSpaceDE w:val="0"/>
        <w:autoSpaceDN w:val="0"/>
        <w:adjustRightInd w:val="0"/>
        <w:ind w:left="720" w:right="78" w:hanging="720"/>
        <w:rPr>
          <w:rFonts w:ascii="Helvetica" w:hAnsi="Helvetica" w:cs="Helvetica"/>
          <w:sz w:val="20"/>
          <w:lang w:val="en-US"/>
        </w:rPr>
      </w:pPr>
      <w:r w:rsidRPr="002166E4">
        <w:rPr>
          <w:rFonts w:ascii="Helvetica" w:hAnsi="Helvetica" w:cs="Helvetica"/>
          <w:iCs/>
          <w:sz w:val="20"/>
          <w:lang w:val="en-US"/>
        </w:rPr>
        <w:t>National Research Council</w:t>
      </w:r>
      <w:r>
        <w:rPr>
          <w:rFonts w:ascii="Helvetica" w:hAnsi="Helvetica" w:cs="Helvetica"/>
          <w:sz w:val="20"/>
          <w:lang w:val="en-US"/>
        </w:rPr>
        <w:t xml:space="preserve"> (1996). </w:t>
      </w:r>
      <w:r w:rsidR="008C0650">
        <w:rPr>
          <w:rFonts w:ascii="Helvetica" w:hAnsi="Helvetica" w:cs="Helvetica"/>
          <w:i/>
          <w:iCs/>
          <w:sz w:val="20"/>
          <w:lang w:val="en-US"/>
        </w:rPr>
        <w:t xml:space="preserve">National science education standards. </w:t>
      </w:r>
      <w:r>
        <w:rPr>
          <w:rFonts w:ascii="Helvetica" w:hAnsi="Helvetica" w:cs="Helvetica"/>
          <w:sz w:val="20"/>
          <w:lang w:val="en-US"/>
        </w:rPr>
        <w:t>Washington D.C.: National Academy Press.</w:t>
      </w:r>
    </w:p>
    <w:p w14:paraId="17217A03"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Ainley, J., Pratt, D., &amp; Hansen, A. (2006). Connecting engagement and focus in pedagogic task design. </w:t>
      </w:r>
      <w:r>
        <w:rPr>
          <w:rFonts w:ascii="Helvetica" w:hAnsi="Helvetica" w:cs="Helvetica"/>
          <w:i/>
          <w:iCs/>
          <w:sz w:val="20"/>
          <w:lang w:val="en-US"/>
        </w:rPr>
        <w:t>British Educational Research Journal, 32</w:t>
      </w:r>
      <w:r>
        <w:rPr>
          <w:rFonts w:ascii="Helvetica" w:hAnsi="Helvetica" w:cs="Helvetica"/>
          <w:sz w:val="20"/>
          <w:lang w:val="en-US"/>
        </w:rPr>
        <w:t>(1), 23-38. doi: 10.1080/01411920500401971</w:t>
      </w:r>
    </w:p>
    <w:p w14:paraId="7A528587" w14:textId="77777777" w:rsidR="00C60F57" w:rsidRPr="008C0650" w:rsidRDefault="00C60F57">
      <w:pPr>
        <w:widowControl w:val="0"/>
        <w:autoSpaceDE w:val="0"/>
        <w:autoSpaceDN w:val="0"/>
        <w:adjustRightInd w:val="0"/>
        <w:ind w:left="720" w:right="78" w:hanging="720"/>
        <w:rPr>
          <w:rFonts w:ascii="Helvetica" w:hAnsi="Helvetica" w:cs="Helvetica"/>
          <w:sz w:val="20"/>
          <w:szCs w:val="20"/>
          <w:lang w:val="en-US"/>
        </w:rPr>
      </w:pPr>
      <w:r w:rsidRPr="008C0650">
        <w:rPr>
          <w:rFonts w:ascii="Helvetica" w:hAnsi="Helvetica" w:cs="Helvetica"/>
          <w:sz w:val="20"/>
          <w:szCs w:val="20"/>
          <w:lang w:val="en-US"/>
        </w:rPr>
        <w:t xml:space="preserve">Banchi, H., &amp; Bell, R. (2007). The many levels of inquiry. </w:t>
      </w:r>
      <w:r w:rsidRPr="008C0650">
        <w:rPr>
          <w:rFonts w:ascii="Helvetica" w:hAnsi="Helvetica" w:cs="Helvetica"/>
          <w:i/>
          <w:iCs/>
          <w:sz w:val="20"/>
          <w:szCs w:val="20"/>
          <w:lang w:val="en-US"/>
        </w:rPr>
        <w:t>Science and Children, 46</w:t>
      </w:r>
      <w:r w:rsidRPr="008C0650">
        <w:rPr>
          <w:rFonts w:ascii="Helvetica" w:hAnsi="Helvetica" w:cs="Helvetica"/>
          <w:sz w:val="20"/>
          <w:szCs w:val="20"/>
          <w:lang w:val="en-US"/>
        </w:rPr>
        <w:t xml:space="preserve">(2), 26-29. </w:t>
      </w:r>
    </w:p>
    <w:p w14:paraId="4AD9797A" w14:textId="6C86F6D5" w:rsidR="00C60F57" w:rsidRDefault="008C0650" w:rsidP="008C0650">
      <w:pPr>
        <w:tabs>
          <w:tab w:val="left" w:pos="81"/>
          <w:tab w:val="left" w:pos="132"/>
        </w:tabs>
        <w:rPr>
          <w:rFonts w:ascii="Helvetica" w:hAnsi="Helvetica" w:cs="Helvetica"/>
          <w:sz w:val="20"/>
          <w:lang w:val="en-US"/>
        </w:rPr>
      </w:pPr>
      <w:r w:rsidRPr="008C0650">
        <w:rPr>
          <w:rFonts w:ascii="Helvetica" w:hAnsi="Helvetica"/>
          <w:sz w:val="20"/>
          <w:szCs w:val="20"/>
          <w:lang w:val="de-DE"/>
        </w:rPr>
        <w:t>Bell, </w:t>
      </w:r>
      <w:r>
        <w:rPr>
          <w:rFonts w:ascii="Helvetica" w:hAnsi="Helvetica"/>
          <w:sz w:val="20"/>
          <w:szCs w:val="20"/>
          <w:lang w:val="de-DE"/>
        </w:rPr>
        <w:t>T.,</w:t>
      </w:r>
      <w:r w:rsidRPr="008C0650">
        <w:rPr>
          <w:rFonts w:ascii="Helvetica" w:hAnsi="Helvetica"/>
          <w:sz w:val="20"/>
          <w:szCs w:val="20"/>
          <w:lang w:val="de-DE"/>
        </w:rPr>
        <w:t xml:space="preserve"> Urhahne, D</w:t>
      </w:r>
      <w:r>
        <w:rPr>
          <w:rFonts w:ascii="Helvetica" w:hAnsi="Helvetica"/>
          <w:sz w:val="20"/>
          <w:szCs w:val="20"/>
          <w:lang w:val="de-DE"/>
        </w:rPr>
        <w:t>.,</w:t>
      </w:r>
      <w:r w:rsidRPr="008C0650">
        <w:rPr>
          <w:rFonts w:ascii="Helvetica" w:hAnsi="Helvetica"/>
          <w:sz w:val="20"/>
          <w:szCs w:val="20"/>
          <w:lang w:val="de-DE"/>
        </w:rPr>
        <w:t xml:space="preserve"> Schanze, S</w:t>
      </w:r>
      <w:r>
        <w:rPr>
          <w:rFonts w:ascii="Helvetica" w:hAnsi="Helvetica"/>
          <w:sz w:val="20"/>
          <w:szCs w:val="20"/>
          <w:lang w:val="de-DE"/>
        </w:rPr>
        <w:t>., &amp;</w:t>
      </w:r>
      <w:r w:rsidRPr="008C0650">
        <w:rPr>
          <w:rFonts w:ascii="Helvetica" w:hAnsi="Helvetica"/>
          <w:sz w:val="20"/>
          <w:szCs w:val="20"/>
          <w:lang w:val="de-DE"/>
        </w:rPr>
        <w:t xml:space="preserve"> Ploetzner,</w:t>
      </w:r>
      <w:r>
        <w:rPr>
          <w:rFonts w:ascii="Helvetica" w:hAnsi="Helvetica" w:cs="Helvetica"/>
          <w:sz w:val="20"/>
          <w:szCs w:val="20"/>
          <w:lang w:val="de-DE"/>
        </w:rPr>
        <w:t xml:space="preserve"> </w:t>
      </w:r>
      <w:r w:rsidR="00C60F57" w:rsidRPr="008C0650">
        <w:rPr>
          <w:rFonts w:ascii="Helvetica" w:hAnsi="Helvetica" w:cs="Helvetica"/>
          <w:sz w:val="20"/>
          <w:szCs w:val="20"/>
          <w:lang w:val="de-DE"/>
        </w:rPr>
        <w:t xml:space="preserve">R. (2010). </w:t>
      </w:r>
      <w:r w:rsidR="00C60F57" w:rsidRPr="008C0650">
        <w:rPr>
          <w:rFonts w:ascii="Helvetica" w:hAnsi="Helvetica" w:cs="Helvetica"/>
          <w:sz w:val="20"/>
          <w:szCs w:val="20"/>
          <w:lang w:val="en-US"/>
        </w:rPr>
        <w:t>Collaborative Inquiry Learning: Models, tools,</w:t>
      </w:r>
      <w:r w:rsidR="00C60F57">
        <w:rPr>
          <w:rFonts w:ascii="Helvetica" w:hAnsi="Helvetica" w:cs="Helvetica"/>
          <w:sz w:val="20"/>
          <w:lang w:val="en-US"/>
        </w:rPr>
        <w:t xml:space="preserve"> and challenges. </w:t>
      </w:r>
      <w:r w:rsidR="00C60F57">
        <w:rPr>
          <w:rFonts w:ascii="Helvetica" w:hAnsi="Helvetica" w:cs="Helvetica"/>
          <w:i/>
          <w:iCs/>
          <w:sz w:val="20"/>
          <w:lang w:val="en-US"/>
        </w:rPr>
        <w:t>International Journal of Science Education, 32</w:t>
      </w:r>
      <w:r w:rsidR="00C60F57">
        <w:rPr>
          <w:rFonts w:ascii="Helvetica" w:hAnsi="Helvetica" w:cs="Helvetica"/>
          <w:sz w:val="20"/>
          <w:lang w:val="en-US"/>
        </w:rPr>
        <w:t>(3), 349-377.</w:t>
      </w:r>
    </w:p>
    <w:p w14:paraId="14160F12" w14:textId="10B830DC" w:rsidR="00C60F57" w:rsidRDefault="00C60F57">
      <w:pPr>
        <w:widowControl w:val="0"/>
        <w:autoSpaceDE w:val="0"/>
        <w:autoSpaceDN w:val="0"/>
        <w:adjustRightInd w:val="0"/>
        <w:ind w:left="720" w:right="78" w:hanging="720"/>
        <w:rPr>
          <w:rFonts w:ascii="Helvetica" w:hAnsi="Helvetica" w:cs="Helvetica"/>
          <w:sz w:val="20"/>
          <w:lang w:val="en-US"/>
        </w:rPr>
      </w:pPr>
      <w:r w:rsidRPr="002166E4">
        <w:rPr>
          <w:rFonts w:ascii="Helvetica" w:hAnsi="Helvetica" w:cs="Helvetica"/>
          <w:sz w:val="20"/>
          <w:lang w:val="de-DE"/>
        </w:rPr>
        <w:t>Bennett, J., Lubben, F.</w:t>
      </w:r>
      <w:r w:rsidR="008C0650" w:rsidRPr="002166E4">
        <w:rPr>
          <w:rFonts w:ascii="Helvetica" w:hAnsi="Helvetica" w:cs="Helvetica"/>
          <w:sz w:val="20"/>
          <w:lang w:val="de-DE"/>
        </w:rPr>
        <w:t>,</w:t>
      </w:r>
      <w:r w:rsidRPr="002166E4">
        <w:rPr>
          <w:rFonts w:ascii="Helvetica" w:hAnsi="Helvetica" w:cs="Helvetica"/>
          <w:sz w:val="20"/>
          <w:lang w:val="de-DE"/>
        </w:rPr>
        <w:t xml:space="preserve"> </w:t>
      </w:r>
      <w:r w:rsidR="008C0650" w:rsidRPr="002166E4">
        <w:rPr>
          <w:rFonts w:ascii="Helvetica" w:hAnsi="Helvetica" w:cs="Helvetica"/>
          <w:sz w:val="20"/>
          <w:lang w:val="de-DE"/>
        </w:rPr>
        <w:t xml:space="preserve">&amp; </w:t>
      </w:r>
      <w:r w:rsidRPr="002166E4">
        <w:rPr>
          <w:rFonts w:ascii="Helvetica" w:hAnsi="Helvetica" w:cs="Helvetica"/>
          <w:sz w:val="20"/>
          <w:lang w:val="de-DE"/>
        </w:rPr>
        <w:t xml:space="preserve">Hogarth, S. (2007). </w:t>
      </w:r>
      <w:r>
        <w:rPr>
          <w:rFonts w:ascii="Helvetica" w:hAnsi="Helvetica" w:cs="Helvetica"/>
          <w:sz w:val="20"/>
          <w:lang w:val="en-US"/>
        </w:rPr>
        <w:t xml:space="preserve">Bringing science to life: a synthesis of the research evidence on the effects of context-based and STS approaches to science teaching. </w:t>
      </w:r>
      <w:r>
        <w:rPr>
          <w:rFonts w:ascii="Helvetica" w:hAnsi="Helvetica" w:cs="Helvetica"/>
          <w:i/>
          <w:sz w:val="20"/>
          <w:lang w:val="en-US"/>
        </w:rPr>
        <w:t>Science Education, 91</w:t>
      </w:r>
      <w:r>
        <w:rPr>
          <w:rFonts w:ascii="Helvetica" w:hAnsi="Helvetica" w:cs="Helvetica"/>
          <w:sz w:val="20"/>
          <w:lang w:val="en-US"/>
        </w:rPr>
        <w:t xml:space="preserve"> (3), 347-370.</w:t>
      </w:r>
    </w:p>
    <w:p w14:paraId="2D4CDF89"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Colburn, A. (2000). An Inquiry Primer. </w:t>
      </w:r>
      <w:r>
        <w:rPr>
          <w:rFonts w:ascii="Helvetica" w:hAnsi="Helvetica" w:cs="Helvetica"/>
          <w:i/>
          <w:iCs/>
          <w:sz w:val="20"/>
          <w:lang w:val="en-US"/>
        </w:rPr>
        <w:t>Science Scope, 23</w:t>
      </w:r>
      <w:r>
        <w:rPr>
          <w:rFonts w:ascii="Helvetica" w:hAnsi="Helvetica" w:cs="Helvetica"/>
          <w:sz w:val="20"/>
          <w:lang w:val="en-US"/>
        </w:rPr>
        <w:t xml:space="preserve">, 42-44. </w:t>
      </w:r>
    </w:p>
    <w:p w14:paraId="792854DF" w14:textId="0537158F"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Crawford, B. A. (1999). Is it realistic to expect a preservice teacher to create an inquiry-based classroom? </w:t>
      </w:r>
      <w:r>
        <w:rPr>
          <w:rFonts w:ascii="Helvetica" w:hAnsi="Helvetica" w:cs="Helvetica"/>
          <w:i/>
          <w:iCs/>
          <w:sz w:val="20"/>
          <w:lang w:val="en-US"/>
        </w:rPr>
        <w:t>Journal of Science Teacher Education, 10</w:t>
      </w:r>
      <w:r>
        <w:rPr>
          <w:rFonts w:ascii="Helvetica" w:hAnsi="Helvetica" w:cs="Helvetica"/>
          <w:sz w:val="20"/>
          <w:lang w:val="en-US"/>
        </w:rPr>
        <w:t>(3), 175-199. doi: 10.1023/A:1009422728845</w:t>
      </w:r>
    </w:p>
    <w:p w14:paraId="1B4CE18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Csikszentmihalyi, M., &amp; Schneider, B. (2000). </w:t>
      </w:r>
      <w:r>
        <w:rPr>
          <w:rFonts w:ascii="Helvetica" w:hAnsi="Helvetica" w:cs="Helvetica"/>
          <w:i/>
          <w:iCs/>
          <w:sz w:val="20"/>
          <w:lang w:val="en-US"/>
        </w:rPr>
        <w:t>Becoming adult: How teenagers prepare for work</w:t>
      </w:r>
      <w:r>
        <w:rPr>
          <w:rFonts w:ascii="Helvetica" w:hAnsi="Helvetica" w:cs="Helvetica"/>
          <w:sz w:val="20"/>
          <w:lang w:val="en-US"/>
        </w:rPr>
        <w:t xml:space="preserve"> (Vol. First). New York: Basic Books.</w:t>
      </w:r>
    </w:p>
    <w:p w14:paraId="6F73DA5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Dierdorp, A., Bakker, A., Van Maanen, J., &amp; Eijkelhof, H. M. C. (2010). </w:t>
      </w:r>
      <w:r>
        <w:rPr>
          <w:rFonts w:ascii="Helvetica" w:hAnsi="Helvetica" w:cs="Helvetica"/>
          <w:i/>
          <w:iCs/>
          <w:sz w:val="20"/>
          <w:lang w:val="en-US"/>
        </w:rPr>
        <w:t>Educational versions of authentic practices as contexts to teach statistical modeling.</w:t>
      </w:r>
      <w:r>
        <w:rPr>
          <w:rFonts w:ascii="Helvetica" w:hAnsi="Helvetica" w:cs="Helvetica"/>
          <w:sz w:val="20"/>
          <w:lang w:val="en-US"/>
        </w:rPr>
        <w:t xml:space="preserve"> Paper presented at the ICOTS 8, Ljubljana, Slovenia.</w:t>
      </w:r>
    </w:p>
    <w:p w14:paraId="4A8B481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Doorman, M. (2009). PRIMAS WP3 – Materials: Teaching and professional development materials for IBL (version 2). Netherlands: PRIMAS project.</w:t>
      </w:r>
    </w:p>
    <w:p w14:paraId="5C588AB7"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Gilbert, J. (2006). On the nature of 'context' in chemical education. </w:t>
      </w:r>
      <w:r>
        <w:rPr>
          <w:rFonts w:ascii="Helvetica" w:hAnsi="Helvetica" w:cs="Helvetica"/>
          <w:i/>
          <w:iCs/>
          <w:sz w:val="20"/>
          <w:lang w:val="en-US"/>
        </w:rPr>
        <w:t>International Journal of Science Education, 28</w:t>
      </w:r>
      <w:r>
        <w:rPr>
          <w:rFonts w:ascii="Helvetica" w:hAnsi="Helvetica" w:cs="Helvetica"/>
          <w:sz w:val="20"/>
          <w:lang w:val="en-US"/>
        </w:rPr>
        <w:t xml:space="preserve">(9), 957-976. </w:t>
      </w:r>
    </w:p>
    <w:p w14:paraId="4BCE86D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Hakkarainen, K. (2003). Progressive inquiry in a computer</w:t>
      </w:r>
      <w:r>
        <w:rPr>
          <w:rFonts w:ascii="MS Gothic" w:eastAsia="MS Gothic" w:hAnsi="MS Gothic" w:cs="MS Gothic" w:hint="eastAsia"/>
          <w:sz w:val="20"/>
          <w:lang w:val="en-US"/>
        </w:rPr>
        <w:t>‐</w:t>
      </w:r>
      <w:r>
        <w:rPr>
          <w:rFonts w:ascii="Helvetica" w:hAnsi="Helvetica" w:cs="Helvetica"/>
          <w:sz w:val="20"/>
          <w:lang w:val="en-US"/>
        </w:rPr>
        <w:t xml:space="preserve">supported biology class. </w:t>
      </w:r>
      <w:r>
        <w:rPr>
          <w:rFonts w:ascii="Helvetica" w:hAnsi="Helvetica" w:cs="Helvetica"/>
          <w:i/>
          <w:iCs/>
          <w:sz w:val="20"/>
          <w:lang w:val="en-US"/>
        </w:rPr>
        <w:t>Journal of Research in Science Teaching, 40</w:t>
      </w:r>
      <w:r>
        <w:rPr>
          <w:rFonts w:ascii="Helvetica" w:hAnsi="Helvetica" w:cs="Helvetica"/>
          <w:sz w:val="20"/>
          <w:lang w:val="en-US"/>
        </w:rPr>
        <w:t>(10), 1072-1088. doi: 10.1002/tea.10121</w:t>
      </w:r>
    </w:p>
    <w:p w14:paraId="4D16CED3"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Hoyles, C., Noss, R., Kent, P., &amp; Bakker, A. (2010). </w:t>
      </w:r>
      <w:r>
        <w:rPr>
          <w:rFonts w:ascii="Helvetica" w:hAnsi="Helvetica" w:cs="Helvetica"/>
          <w:i/>
          <w:iCs/>
          <w:sz w:val="20"/>
          <w:lang w:val="en-US"/>
        </w:rPr>
        <w:t>Improving mathematics at work: The need for techno-mathematical literacies</w:t>
      </w:r>
      <w:r>
        <w:rPr>
          <w:rFonts w:ascii="Helvetica" w:hAnsi="Helvetica" w:cs="Helvetica"/>
          <w:sz w:val="20"/>
          <w:lang w:val="en-US"/>
        </w:rPr>
        <w:t>. London: Routledge.</w:t>
      </w:r>
    </w:p>
    <w:p w14:paraId="7F0958C1" w14:textId="77777777" w:rsidR="00C60F57" w:rsidRDefault="00C60F57">
      <w:pPr>
        <w:widowControl w:val="0"/>
        <w:autoSpaceDE w:val="0"/>
        <w:autoSpaceDN w:val="0"/>
        <w:adjustRightInd w:val="0"/>
        <w:ind w:left="720" w:right="78" w:hanging="720"/>
        <w:rPr>
          <w:rFonts w:ascii="Helvetica" w:hAnsi="Helvetica" w:cs="Helvetica"/>
          <w:sz w:val="20"/>
          <w:lang w:val="de-DE"/>
        </w:rPr>
      </w:pPr>
      <w:r>
        <w:rPr>
          <w:rFonts w:ascii="Helvetica" w:hAnsi="Helvetica" w:cs="Helvetica"/>
          <w:sz w:val="20"/>
          <w:lang w:val="en-US"/>
        </w:rPr>
        <w:t xml:space="preserve">King, D., &amp; Ritchie, S. M. (2012). Learning science through real-world contexts. In B. J. Fraser, K. Tobin &amp; C. J. McRobbie (Eds.), </w:t>
      </w:r>
      <w:r>
        <w:rPr>
          <w:rFonts w:ascii="Helvetica" w:hAnsi="Helvetica" w:cs="Helvetica"/>
          <w:i/>
          <w:iCs/>
          <w:sz w:val="20"/>
          <w:lang w:val="en-US"/>
        </w:rPr>
        <w:t>Second International Handbook of Science Education</w:t>
      </w:r>
      <w:r>
        <w:rPr>
          <w:rFonts w:ascii="Helvetica" w:hAnsi="Helvetica" w:cs="Helvetica"/>
          <w:sz w:val="20"/>
          <w:lang w:val="en-US"/>
        </w:rPr>
        <w:t xml:space="preserve"> (Vol. 24, pp. 69-79). </w:t>
      </w:r>
      <w:r>
        <w:rPr>
          <w:rFonts w:ascii="Helvetica" w:hAnsi="Helvetica" w:cs="Helvetica"/>
          <w:sz w:val="20"/>
          <w:lang w:val="de-DE"/>
        </w:rPr>
        <w:t>Rotterdam: Springer Netherlands.</w:t>
      </w:r>
    </w:p>
    <w:p w14:paraId="249ED7BB"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de-DE"/>
        </w:rPr>
        <w:t xml:space="preserve">Kirschner, P., Sweller, J., &amp; Clark, R. E. (2006). </w:t>
      </w:r>
      <w:r>
        <w:rPr>
          <w:rFonts w:ascii="Helvetica" w:hAnsi="Helvetica" w:cs="Helvetica"/>
          <w:sz w:val="20"/>
          <w:lang w:val="en-US"/>
        </w:rPr>
        <w:t xml:space="preserve">Why minimal guidance during instruction does not work: an analysis of the failure of constructivist, discovery, problem-based, experiential, and inquiry-based teaching. </w:t>
      </w:r>
      <w:r>
        <w:rPr>
          <w:rFonts w:ascii="Helvetica" w:hAnsi="Helvetica" w:cs="Helvetica"/>
          <w:i/>
          <w:iCs/>
          <w:sz w:val="20"/>
          <w:lang w:val="en-US"/>
        </w:rPr>
        <w:t>Educational Psychologist, 41</w:t>
      </w:r>
      <w:r>
        <w:rPr>
          <w:rFonts w:ascii="Helvetica" w:hAnsi="Helvetica" w:cs="Helvetica"/>
          <w:sz w:val="20"/>
          <w:lang w:val="en-US"/>
        </w:rPr>
        <w:t xml:space="preserve">(2), 75-86. </w:t>
      </w:r>
    </w:p>
    <w:p w14:paraId="7CC6DEE5"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Louca, L. T. S. M., &amp; Tzialli, D. (2010). Implementing a Lesson Plan Vs. Attending to Student Inquiry: The Struggle of a Student-Teacher During Teaching Science. </w:t>
      </w:r>
      <w:r>
        <w:rPr>
          <w:rFonts w:ascii="Helvetica" w:hAnsi="Helvetica" w:cs="Helvetica"/>
          <w:i/>
          <w:iCs/>
          <w:sz w:val="20"/>
          <w:lang w:val="en-US"/>
        </w:rPr>
        <w:t>International Society of the Learning Sciences, 1</w:t>
      </w:r>
      <w:r>
        <w:rPr>
          <w:rFonts w:ascii="Helvetica" w:hAnsi="Helvetica" w:cs="Helvetica"/>
          <w:sz w:val="20"/>
          <w:lang w:val="en-US"/>
        </w:rPr>
        <w:t xml:space="preserve">, 604-611. </w:t>
      </w:r>
    </w:p>
    <w:p w14:paraId="7461FFB5" w14:textId="2D42B3D1"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Mazereeuw, M. (2013). </w:t>
      </w:r>
      <w:r>
        <w:rPr>
          <w:rFonts w:ascii="Helvetica" w:hAnsi="Helvetica" w:cs="Helvetica"/>
          <w:i/>
          <w:iCs/>
          <w:sz w:val="20"/>
          <w:lang w:val="en-US"/>
        </w:rPr>
        <w:t>The functionality of biological knowledge in the workplace. Integrating school and workplace learning about reproduction.</w:t>
      </w:r>
      <w:r>
        <w:rPr>
          <w:rFonts w:ascii="Helvetica" w:hAnsi="Helvetica" w:cs="Helvetica"/>
          <w:sz w:val="20"/>
          <w:lang w:val="en-US"/>
        </w:rPr>
        <w:t xml:space="preserve"> Utrecht University, Utrecht. Retrieved from http://www.fisme.science.uu.nl/toepassingen/20080  (FIsme Scientific Library 80)</w:t>
      </w:r>
      <w:r w:rsidR="008C0650">
        <w:rPr>
          <w:rFonts w:ascii="Helvetica" w:hAnsi="Helvetica" w:cs="Helvetica"/>
          <w:sz w:val="20"/>
          <w:lang w:val="en-US"/>
        </w:rPr>
        <w:t>.</w:t>
      </w:r>
    </w:p>
    <w:p w14:paraId="472611CF" w14:textId="72F91A7C" w:rsidR="00BA209A" w:rsidRDefault="00BA209A" w:rsidP="00BA209A">
      <w:pPr>
        <w:widowControl w:val="0"/>
        <w:autoSpaceDE w:val="0"/>
        <w:autoSpaceDN w:val="0"/>
        <w:adjustRightInd w:val="0"/>
        <w:ind w:left="720" w:right="78" w:hanging="720"/>
        <w:rPr>
          <w:rFonts w:ascii="Helvetica" w:hAnsi="Helvetica" w:cs="Helvetica"/>
          <w:sz w:val="20"/>
          <w:lang w:val="en-US"/>
        </w:rPr>
      </w:pPr>
      <w:r w:rsidRPr="00BA209A">
        <w:rPr>
          <w:rFonts w:ascii="Helvetica" w:hAnsi="Helvetica" w:cs="Helvetica"/>
          <w:sz w:val="20"/>
          <w:lang w:val="en-US"/>
        </w:rPr>
        <w:t>Prins</w:t>
      </w:r>
      <w:r w:rsidR="008C0650">
        <w:rPr>
          <w:rFonts w:ascii="Helvetica" w:hAnsi="Helvetica" w:cs="Helvetica"/>
          <w:sz w:val="20"/>
          <w:lang w:val="en-US"/>
        </w:rPr>
        <w:t>,</w:t>
      </w:r>
      <w:r w:rsidRPr="00BA209A">
        <w:rPr>
          <w:rFonts w:ascii="Helvetica" w:hAnsi="Helvetica" w:cs="Helvetica"/>
          <w:sz w:val="20"/>
          <w:lang w:val="en-US"/>
        </w:rPr>
        <w:t xml:space="preserve"> G. T., Bulte</w:t>
      </w:r>
      <w:r w:rsidR="008C0650">
        <w:rPr>
          <w:rFonts w:ascii="Helvetica" w:hAnsi="Helvetica" w:cs="Helvetica"/>
          <w:sz w:val="20"/>
          <w:lang w:val="en-US"/>
        </w:rPr>
        <w:t>,</w:t>
      </w:r>
      <w:r w:rsidRPr="00BA209A">
        <w:rPr>
          <w:rFonts w:ascii="Helvetica" w:hAnsi="Helvetica" w:cs="Helvetica"/>
          <w:sz w:val="20"/>
          <w:lang w:val="en-US"/>
        </w:rPr>
        <w:t xml:space="preserve"> A. M. W., Driel</w:t>
      </w:r>
      <w:r w:rsidR="008C0650">
        <w:rPr>
          <w:rFonts w:ascii="Helvetica" w:hAnsi="Helvetica" w:cs="Helvetica"/>
          <w:sz w:val="20"/>
          <w:lang w:val="en-US"/>
        </w:rPr>
        <w:t>,</w:t>
      </w:r>
      <w:r w:rsidRPr="00BA209A">
        <w:rPr>
          <w:rFonts w:ascii="Helvetica" w:hAnsi="Helvetica" w:cs="Helvetica"/>
          <w:sz w:val="20"/>
          <w:lang w:val="en-US"/>
        </w:rPr>
        <w:t xml:space="preserve"> van</w:t>
      </w:r>
      <w:r w:rsidR="008C0650">
        <w:rPr>
          <w:rFonts w:ascii="Helvetica" w:hAnsi="Helvetica" w:cs="Helvetica"/>
          <w:sz w:val="20"/>
          <w:lang w:val="en-US"/>
        </w:rPr>
        <w:t>,</w:t>
      </w:r>
      <w:r w:rsidRPr="00BA209A">
        <w:rPr>
          <w:rFonts w:ascii="Helvetica" w:hAnsi="Helvetica" w:cs="Helvetica"/>
          <w:sz w:val="20"/>
          <w:lang w:val="en-US"/>
        </w:rPr>
        <w:t xml:space="preserve"> J. H.</w:t>
      </w:r>
      <w:r w:rsidR="008C0650">
        <w:rPr>
          <w:rFonts w:ascii="Helvetica" w:hAnsi="Helvetica" w:cs="Helvetica"/>
          <w:sz w:val="20"/>
          <w:lang w:val="en-US"/>
        </w:rPr>
        <w:t>,</w:t>
      </w:r>
      <w:r w:rsidRPr="00BA209A">
        <w:rPr>
          <w:rFonts w:ascii="Helvetica" w:hAnsi="Helvetica" w:cs="Helvetica"/>
          <w:sz w:val="20"/>
          <w:lang w:val="en-US"/>
        </w:rPr>
        <w:t xml:space="preserve"> &amp; Pilot</w:t>
      </w:r>
      <w:r w:rsidR="008C0650">
        <w:rPr>
          <w:rFonts w:ascii="Helvetica" w:hAnsi="Helvetica" w:cs="Helvetica"/>
          <w:sz w:val="20"/>
          <w:lang w:val="en-US"/>
        </w:rPr>
        <w:t>,</w:t>
      </w:r>
      <w:r w:rsidRPr="00BA209A">
        <w:rPr>
          <w:rFonts w:ascii="Helvetica" w:hAnsi="Helvetica" w:cs="Helvetica"/>
          <w:sz w:val="20"/>
          <w:lang w:val="en-US"/>
        </w:rPr>
        <w:t xml:space="preserve"> A. (2008).Selection of Authentic modelling practices as contexts for chemistry education. </w:t>
      </w:r>
      <w:r w:rsidRPr="002166E4">
        <w:rPr>
          <w:rFonts w:ascii="Helvetica" w:hAnsi="Helvetica" w:cs="Helvetica"/>
          <w:i/>
          <w:sz w:val="20"/>
          <w:lang w:val="en-US"/>
        </w:rPr>
        <w:t>International Journal of Science Education</w:t>
      </w:r>
      <w:r w:rsidRPr="00BA209A">
        <w:rPr>
          <w:rFonts w:ascii="Helvetica" w:hAnsi="Helvetica" w:cs="Helvetica"/>
          <w:sz w:val="20"/>
          <w:lang w:val="en-US"/>
        </w:rPr>
        <w:t xml:space="preserve">, </w:t>
      </w:r>
      <w:r w:rsidRPr="002166E4">
        <w:rPr>
          <w:rFonts w:ascii="Helvetica" w:hAnsi="Helvetica" w:cs="Helvetica"/>
          <w:i/>
          <w:sz w:val="20"/>
          <w:lang w:val="en-US"/>
        </w:rPr>
        <w:t>30</w:t>
      </w:r>
      <w:r w:rsidR="008C0650">
        <w:rPr>
          <w:rFonts w:ascii="Helvetica" w:hAnsi="Helvetica" w:cs="Helvetica"/>
          <w:sz w:val="20"/>
          <w:lang w:val="en-US"/>
        </w:rPr>
        <w:t>(</w:t>
      </w:r>
      <w:r w:rsidRPr="00BA209A">
        <w:rPr>
          <w:rFonts w:ascii="Helvetica" w:hAnsi="Helvetica" w:cs="Helvetica"/>
          <w:sz w:val="20"/>
          <w:lang w:val="en-US"/>
        </w:rPr>
        <w:t>14</w:t>
      </w:r>
      <w:r w:rsidR="008C0650">
        <w:rPr>
          <w:rFonts w:ascii="Helvetica" w:hAnsi="Helvetica" w:cs="Helvetica"/>
          <w:sz w:val="20"/>
          <w:lang w:val="en-US"/>
        </w:rPr>
        <w:t>)</w:t>
      </w:r>
      <w:r w:rsidRPr="00BA209A">
        <w:rPr>
          <w:rFonts w:ascii="Helvetica" w:hAnsi="Helvetica" w:cs="Helvetica"/>
          <w:sz w:val="20"/>
          <w:lang w:val="en-US"/>
        </w:rPr>
        <w:t>, 1867-1890</w:t>
      </w:r>
      <w:r w:rsidR="008C0650">
        <w:rPr>
          <w:rFonts w:ascii="Helvetica" w:hAnsi="Helvetica" w:cs="Helvetica"/>
          <w:sz w:val="20"/>
          <w:lang w:val="en-US"/>
        </w:rPr>
        <w:t>.</w:t>
      </w:r>
    </w:p>
    <w:p w14:paraId="12654ECD" w14:textId="77777777" w:rsidR="008B7931" w:rsidRPr="008B7931" w:rsidRDefault="008B7931" w:rsidP="008B7931">
      <w:pPr>
        <w:widowControl w:val="0"/>
        <w:autoSpaceDE w:val="0"/>
        <w:autoSpaceDN w:val="0"/>
        <w:adjustRightInd w:val="0"/>
        <w:ind w:left="720" w:right="78" w:hanging="720"/>
        <w:rPr>
          <w:rFonts w:ascii="Helvetica" w:hAnsi="Helvetica" w:cs="Helvetica"/>
          <w:sz w:val="20"/>
          <w:lang w:val="en-US"/>
        </w:rPr>
      </w:pPr>
      <w:r w:rsidRPr="008B7931">
        <w:rPr>
          <w:rFonts w:ascii="Helvetica" w:hAnsi="Helvetica" w:cs="Helvetica"/>
          <w:sz w:val="20"/>
          <w:lang w:val="en-US"/>
        </w:rPr>
        <w:lastRenderedPageBreak/>
        <w:t>Prins, G. T. (2010). Teaching and learning of modelling in chemistry education. Authentic practices as contexts for learning. Utrecht University, Utrecht. Retrieved from http://www.fisme.science.uu.nl/toepassingen/20063/  (FIsme Scientific Library 63)</w:t>
      </w:r>
    </w:p>
    <w:p w14:paraId="144372CF"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Rocard, M. (2007). </w:t>
      </w:r>
      <w:r w:rsidRPr="002166E4">
        <w:rPr>
          <w:rFonts w:ascii="Helvetica" w:hAnsi="Helvetica" w:cs="Helvetica"/>
          <w:i/>
          <w:sz w:val="20"/>
          <w:lang w:val="en-US"/>
        </w:rPr>
        <w:t>Science Education Now: A Renewed Pedagogy for the Future of Europe</w:t>
      </w:r>
      <w:r>
        <w:rPr>
          <w:rFonts w:ascii="Helvetica" w:hAnsi="Helvetica" w:cs="Helvetica"/>
          <w:sz w:val="20"/>
          <w:lang w:val="en-US"/>
        </w:rPr>
        <w:t xml:space="preserve"> (pp. 20). Brussel: High Level Group on Science Education, Directorate General for Research, Science, Economy and Science, European Commission.</w:t>
      </w:r>
    </w:p>
    <w:p w14:paraId="7A983747"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Roth, W.-M. (1997). Graphing: Cognitive ability or practice? </w:t>
      </w:r>
      <w:r>
        <w:rPr>
          <w:rFonts w:ascii="Helvetica" w:hAnsi="Helvetica" w:cs="Helvetica"/>
          <w:i/>
          <w:iCs/>
          <w:sz w:val="20"/>
          <w:lang w:val="en-US"/>
        </w:rPr>
        <w:t>Science Education, 81</w:t>
      </w:r>
      <w:r>
        <w:rPr>
          <w:rFonts w:ascii="Helvetica" w:hAnsi="Helvetica" w:cs="Helvetica"/>
          <w:sz w:val="20"/>
          <w:lang w:val="en-US"/>
        </w:rPr>
        <w:t>(1), 91-106. doi: 10.1002/(SICI)1098-237X(199701)81:1&lt;91::AID-SCE5&gt;3.0.CO;2-X</w:t>
      </w:r>
    </w:p>
    <w:p w14:paraId="02D85F45" w14:textId="2D83717E" w:rsidR="00BA209A" w:rsidRDefault="00BA209A">
      <w:pPr>
        <w:widowControl w:val="0"/>
        <w:autoSpaceDE w:val="0"/>
        <w:autoSpaceDN w:val="0"/>
        <w:adjustRightInd w:val="0"/>
        <w:ind w:left="720" w:right="78" w:hanging="720"/>
        <w:rPr>
          <w:rFonts w:ascii="Helvetica" w:hAnsi="Helvetica" w:cs="Helvetica"/>
          <w:sz w:val="20"/>
          <w:lang w:val="en-US"/>
        </w:rPr>
      </w:pPr>
      <w:r w:rsidRPr="006121E9">
        <w:rPr>
          <w:rFonts w:ascii="Helvetica" w:hAnsi="Helvetica" w:cs="Helvetica"/>
          <w:sz w:val="20"/>
          <w:lang w:val="nl-NL"/>
        </w:rPr>
        <w:t xml:space="preserve">Roth, W.M., van Eijck, M., Reis, G., &amp; Hsu, P.L. (2008). </w:t>
      </w:r>
      <w:r w:rsidRPr="002166E4">
        <w:rPr>
          <w:rFonts w:ascii="Helvetica" w:hAnsi="Helvetica" w:cs="Helvetica"/>
          <w:i/>
          <w:sz w:val="20"/>
          <w:lang w:val="en-US"/>
        </w:rPr>
        <w:t xml:space="preserve">Authentic science revisited: In praise of diversity, heterogeneity, hybridity. </w:t>
      </w:r>
      <w:r w:rsidRPr="00BA209A">
        <w:rPr>
          <w:rFonts w:ascii="Helvetica" w:hAnsi="Helvetica" w:cs="Helvetica"/>
          <w:sz w:val="20"/>
          <w:lang w:val="en-US"/>
        </w:rPr>
        <w:t>Rotterdam: Sense publishers.</w:t>
      </w:r>
    </w:p>
    <w:p w14:paraId="1E983FB7" w14:textId="54AFDCF0"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Teichler, U. (1999). Higher education policy and the world of work: Changing conditions and challenges. </w:t>
      </w:r>
      <w:r>
        <w:rPr>
          <w:rFonts w:ascii="Helvetica" w:hAnsi="Helvetica" w:cs="Helvetica"/>
          <w:i/>
          <w:iCs/>
          <w:sz w:val="20"/>
          <w:lang w:val="en-US"/>
        </w:rPr>
        <w:t>Higher Education Policy, 12</w:t>
      </w:r>
      <w:r>
        <w:rPr>
          <w:rFonts w:ascii="Helvetica" w:hAnsi="Helvetica" w:cs="Helvetica"/>
          <w:sz w:val="20"/>
          <w:lang w:val="en-US"/>
        </w:rPr>
        <w:t>(4), 285-312. doi: 10.1016/S0952-8733(99)00019-7</w:t>
      </w:r>
      <w:r w:rsidR="00C6317D">
        <w:rPr>
          <w:rFonts w:ascii="Helvetica" w:hAnsi="Helvetica" w:cs="Helvetica"/>
          <w:sz w:val="20"/>
          <w:lang w:val="en-US"/>
        </w:rPr>
        <w:t>.</w:t>
      </w:r>
    </w:p>
    <w:p w14:paraId="51D1189C" w14:textId="77777777" w:rsidR="00C60F57" w:rsidRDefault="00C60F57"/>
    <w:p w14:paraId="3A3D2A15" w14:textId="3E0E4227" w:rsidR="00C60F57" w:rsidRDefault="00C60F57"/>
    <w:sectPr w:rsidR="00C60F57" w:rsidSect="004A6865">
      <w:footerReference w:type="even" r:id="rId22"/>
      <w:footerReference w:type="default" r:id="rId2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FFD58" w14:textId="77777777" w:rsidR="00B46538" w:rsidRDefault="00B46538">
      <w:r>
        <w:separator/>
      </w:r>
    </w:p>
  </w:endnote>
  <w:endnote w:type="continuationSeparator" w:id="0">
    <w:p w14:paraId="197DF6C9" w14:textId="77777777" w:rsidR="00B46538" w:rsidRDefault="00B46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139E9f04ArialUnicodeM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F2175" w14:textId="77777777" w:rsidR="00B46538" w:rsidRDefault="00B4653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137179" w14:textId="77777777" w:rsidR="00B46538" w:rsidRDefault="00B46538">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67A82" w14:textId="77777777" w:rsidR="00B46538" w:rsidRDefault="00B4653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A2085">
      <w:rPr>
        <w:rStyle w:val="Paginanummer"/>
        <w:noProof/>
      </w:rPr>
      <w:t>2</w:t>
    </w:r>
    <w:r>
      <w:rPr>
        <w:rStyle w:val="Paginanummer"/>
      </w:rPr>
      <w:fldChar w:fldCharType="end"/>
    </w:r>
  </w:p>
  <w:p w14:paraId="27B6A964" w14:textId="77777777" w:rsidR="00B46538" w:rsidRDefault="00B4653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2D6C9" w14:textId="77777777" w:rsidR="00B46538" w:rsidRDefault="00B46538">
      <w:r>
        <w:separator/>
      </w:r>
    </w:p>
  </w:footnote>
  <w:footnote w:type="continuationSeparator" w:id="0">
    <w:p w14:paraId="11E28956" w14:textId="77777777" w:rsidR="00B46538" w:rsidRDefault="00B46538">
      <w:r>
        <w:continuationSeparator/>
      </w:r>
    </w:p>
  </w:footnote>
  <w:footnote w:id="1">
    <w:p w14:paraId="3EEDA7CC" w14:textId="3746B1BE" w:rsidR="00B46538" w:rsidRPr="00211C2A" w:rsidRDefault="00B46538">
      <w:pPr>
        <w:pStyle w:val="Voetnoottekst"/>
        <w:rPr>
          <w:lang w:val="en-US"/>
        </w:rPr>
      </w:pPr>
      <w:r>
        <w:rPr>
          <w:rStyle w:val="Voetnootmarkering"/>
        </w:rPr>
        <w:footnoteRef/>
      </w:r>
      <w:r>
        <w:t xml:space="preserve"> A more detailed description can be found in Deliverable 1 and on the </w:t>
      </w:r>
      <w:r>
        <w:rPr>
          <w:i/>
        </w:rPr>
        <w:t>m</w:t>
      </w:r>
      <w:r w:rsidRPr="00FE4F96">
        <w:rPr>
          <w:i/>
        </w:rPr>
        <w:t>ascil</w:t>
      </w:r>
      <w:r>
        <w:t xml:space="preserve"> website.</w:t>
      </w:r>
    </w:p>
  </w:footnote>
  <w:footnote w:id="2">
    <w:p w14:paraId="2853128A" w14:textId="0376D4B5" w:rsidR="00B46538" w:rsidRPr="00641B28" w:rsidRDefault="00B46538">
      <w:pPr>
        <w:pStyle w:val="Voetnoottekst"/>
        <w:rPr>
          <w:lang w:val="fr-FR"/>
        </w:rPr>
      </w:pPr>
      <w:r>
        <w:rPr>
          <w:rStyle w:val="Voetnootmarkering"/>
        </w:rPr>
        <w:footnoteRef/>
      </w:r>
      <w:r w:rsidRPr="00AC7E0F">
        <w:rPr>
          <w:lang w:val="fr-FR"/>
        </w:rPr>
        <w:t xml:space="preserve"> </w:t>
      </w:r>
      <w:r w:rsidRPr="00AC7E0F">
        <w:rPr>
          <w:sz w:val="20"/>
          <w:lang w:val="fr-FR"/>
        </w:rPr>
        <w:t xml:space="preserve">Source: </w:t>
      </w:r>
      <w:hyperlink r:id="rId1" w:history="1">
        <w:r w:rsidRPr="00AC7E0F">
          <w:rPr>
            <w:rStyle w:val="Hyperlink"/>
            <w:sz w:val="20"/>
            <w:lang w:val="fr-FR"/>
          </w:rPr>
          <w:t>http://www.primas-project.eu/artikel/en/1044/Tackling+unstructured+problems/</w:t>
        </w:r>
      </w:hyperlink>
      <w:r w:rsidRPr="00641B28">
        <w:rPr>
          <w:sz w:val="20"/>
          <w:lang w:val="fr-FR"/>
        </w:rPr>
        <w:t xml:space="preserve"> </w:t>
      </w:r>
    </w:p>
  </w:footnote>
  <w:footnote w:id="3">
    <w:p w14:paraId="59C49F04" w14:textId="28ACC086" w:rsidR="00B46538" w:rsidRPr="00AC7E0F" w:rsidRDefault="00B46538">
      <w:pPr>
        <w:pStyle w:val="Voetnoottekst"/>
        <w:rPr>
          <w:lang w:val="fr-FR"/>
        </w:rPr>
      </w:pPr>
      <w:r w:rsidRPr="00641B28">
        <w:rPr>
          <w:rStyle w:val="Voetnootmarkering"/>
        </w:rPr>
        <w:footnoteRef/>
      </w:r>
      <w:r w:rsidRPr="00AC7E0F">
        <w:rPr>
          <w:sz w:val="20"/>
          <w:lang w:val="fr-FR"/>
        </w:rPr>
        <w:t xml:space="preserve"> Source: </w:t>
      </w:r>
      <w:hyperlink r:id="rId2" w:history="1">
        <w:r w:rsidRPr="00AC7E0F">
          <w:rPr>
            <w:rStyle w:val="Hyperlink"/>
            <w:sz w:val="20"/>
            <w:lang w:val="fr-FR"/>
          </w:rPr>
          <w:t>http://www.primas-project.eu/artikel/en/1260/Student-led+inquiry/</w:t>
        </w:r>
      </w:hyperlink>
      <w:r w:rsidRPr="00AC7E0F">
        <w:rPr>
          <w:sz w:val="20"/>
          <w:lang w:val="fr-FR"/>
        </w:rPr>
        <w:t xml:space="preserve">  </w:t>
      </w:r>
    </w:p>
  </w:footnote>
  <w:footnote w:id="4">
    <w:p w14:paraId="6004AA72" w14:textId="3B9A80E8" w:rsidR="00B46538" w:rsidRPr="00BF2D47" w:rsidRDefault="00B46538">
      <w:pPr>
        <w:pStyle w:val="Voetnoottekst"/>
      </w:pPr>
      <w:r>
        <w:rPr>
          <w:rStyle w:val="Voetnootmarkering"/>
        </w:rPr>
        <w:footnoteRef/>
      </w:r>
      <w:r>
        <w:t xml:space="preserve"> This relates to the characteristic ‘stimulation, collaboration and communication’ that is discussed in the previous paragraph.</w:t>
      </w:r>
    </w:p>
  </w:footnote>
  <w:footnote w:id="5">
    <w:p w14:paraId="32BBBA9F" w14:textId="781FA6AA" w:rsidR="00B46538" w:rsidRPr="007578DF" w:rsidRDefault="00B46538">
      <w:pPr>
        <w:pStyle w:val="Voetnoottekst"/>
        <w:rPr>
          <w:sz w:val="20"/>
        </w:rPr>
      </w:pPr>
      <w:r>
        <w:rPr>
          <w:rStyle w:val="Voetnootmarkering"/>
        </w:rPr>
        <w:footnoteRef/>
      </w:r>
      <w:r>
        <w:t xml:space="preserve"> </w:t>
      </w:r>
      <w:r w:rsidRPr="008B7931">
        <w:rPr>
          <w:sz w:val="20"/>
        </w:rPr>
        <w:t xml:space="preserve">Copied from the </w:t>
      </w:r>
      <w:r w:rsidRPr="008B7931">
        <w:rPr>
          <w:i/>
          <w:sz w:val="20"/>
        </w:rPr>
        <w:t>mascil</w:t>
      </w:r>
      <w:r w:rsidRPr="008B7931">
        <w:rPr>
          <w:sz w:val="20"/>
        </w:rPr>
        <w:t xml:space="preserve"> problem </w:t>
      </w:r>
      <w:r w:rsidR="008B7931">
        <w:rPr>
          <w:sz w:val="20"/>
        </w:rPr>
        <w:t>'C</w:t>
      </w:r>
      <w:r w:rsidRPr="008B7931">
        <w:rPr>
          <w:sz w:val="20"/>
        </w:rPr>
        <w:t>ontainer logistics</w:t>
      </w:r>
      <w:r w:rsidR="008B7931">
        <w:rPr>
          <w:sz w:val="20"/>
        </w:rPr>
        <w:t>'</w:t>
      </w:r>
      <w:r w:rsidRPr="008B7931">
        <w:rPr>
          <w:sz w:val="20"/>
        </w:rPr>
        <w:t xml:space="preserve">: </w:t>
      </w:r>
      <w:r w:rsidR="008B7931" w:rsidRPr="008B7931">
        <w:rPr>
          <w:sz w:val="20"/>
        </w:rPr>
        <w:t>http://www.fisme.science.uu.nl/toepassingen/00810/</w:t>
      </w:r>
    </w:p>
    <w:p w14:paraId="26AA3F27" w14:textId="77777777" w:rsidR="00B46538" w:rsidRPr="00A42504" w:rsidRDefault="00B46538">
      <w:pPr>
        <w:pStyle w:val="Voetnoottekst"/>
      </w:pPr>
    </w:p>
  </w:footnote>
  <w:footnote w:id="6">
    <w:p w14:paraId="2442D169" w14:textId="7149B048" w:rsidR="00B46538" w:rsidRDefault="00B46538" w:rsidP="003E6024">
      <w:pPr>
        <w:pStyle w:val="Voetnoottekst"/>
      </w:pPr>
      <w:r>
        <w:rPr>
          <w:rStyle w:val="Voetnootmarkering"/>
        </w:rPr>
        <w:footnoteRef/>
      </w:r>
      <w:r>
        <w:t xml:space="preserve"> </w:t>
      </w:r>
      <w:r w:rsidRPr="008B7931">
        <w:rPr>
          <w:sz w:val="20"/>
          <w:lang w:val="en-US"/>
        </w:rPr>
        <w:t xml:space="preserve">This type of tasks can be found on the </w:t>
      </w:r>
      <w:r w:rsidRPr="008B7931">
        <w:rPr>
          <w:sz w:val="20"/>
        </w:rPr>
        <w:t xml:space="preserve">PRIMAS </w:t>
      </w:r>
      <w:r w:rsidRPr="008B7931">
        <w:rPr>
          <w:sz w:val="20"/>
          <w:lang w:val="en-US"/>
        </w:rPr>
        <w:t>site</w:t>
      </w:r>
      <w:r w:rsidR="008B7931" w:rsidRPr="008B7931">
        <w:rPr>
          <w:sz w:val="20"/>
          <w:lang w:val="en-US"/>
        </w:rPr>
        <w:t xml:space="preserve"> www.primas-project.eu</w:t>
      </w:r>
    </w:p>
  </w:footnote>
  <w:footnote w:id="7">
    <w:p w14:paraId="0C53A929" w14:textId="363ABA15" w:rsidR="00B46538" w:rsidRPr="00842772" w:rsidRDefault="00B46538">
      <w:pPr>
        <w:pStyle w:val="Voetnoottekst"/>
        <w:rPr>
          <w:lang w:val="en-US"/>
        </w:rPr>
      </w:pPr>
      <w:r>
        <w:rPr>
          <w:rStyle w:val="Voetnootmarkering"/>
        </w:rPr>
        <w:footnoteRef/>
      </w:r>
      <w:r>
        <w:t xml:space="preserve"> </w:t>
      </w:r>
      <w:r>
        <w:rPr>
          <w:lang w:val="en-US"/>
        </w:rPr>
        <w:t xml:space="preserve">Drawn from the </w:t>
      </w:r>
      <w:r>
        <w:t>PRIMAS</w:t>
      </w:r>
      <w:r>
        <w:rPr>
          <w:lang w:val="en-US"/>
        </w:rPr>
        <w:t xml:space="preserve"> project: </w:t>
      </w:r>
      <w:r>
        <w:rPr>
          <w:lang w:val="en-US"/>
        </w:rPr>
        <w:br/>
      </w:r>
      <w:hyperlink r:id="rId3" w:history="1">
        <w:r w:rsidRPr="00B91D55">
          <w:rPr>
            <w:rStyle w:val="Hyperlink"/>
            <w:sz w:val="20"/>
            <w:lang w:val="en-US"/>
          </w:rPr>
          <w:t>http://www.primas-project.eu/artikel/en/1044/Tackling+unstructured+problems/</w:t>
        </w:r>
      </w:hyperlink>
      <w:r>
        <w:rPr>
          <w:sz w:val="20"/>
          <w:lang w:val="en-US"/>
        </w:rPr>
        <w:t xml:space="preserve"> </w:t>
      </w:r>
    </w:p>
  </w:footnote>
  <w:footnote w:id="8">
    <w:p w14:paraId="5E4E86E9" w14:textId="3DCA00CA" w:rsidR="00B46538" w:rsidRPr="008B7931" w:rsidRDefault="00B46538">
      <w:pPr>
        <w:pStyle w:val="Voetnoottekst"/>
        <w:rPr>
          <w:sz w:val="16"/>
          <w:lang w:val="en-US"/>
        </w:rPr>
      </w:pPr>
      <w:r>
        <w:rPr>
          <w:rStyle w:val="Voetnootmarkering"/>
        </w:rPr>
        <w:footnoteRef/>
      </w:r>
      <w:r>
        <w:t xml:space="preserve"> </w:t>
      </w:r>
      <w:r w:rsidRPr="008B7931">
        <w:rPr>
          <w:sz w:val="20"/>
          <w:lang w:val="en-US"/>
        </w:rPr>
        <w:t xml:space="preserve">Drawn from </w:t>
      </w:r>
      <w:r w:rsidRPr="008B7931">
        <w:rPr>
          <w:i/>
          <w:sz w:val="20"/>
        </w:rPr>
        <w:t>mascil</w:t>
      </w:r>
      <w:r w:rsidR="008B7931" w:rsidRPr="008B7931">
        <w:rPr>
          <w:sz w:val="20"/>
          <w:lang w:val="en-US"/>
        </w:rPr>
        <w:t xml:space="preserve"> t</w:t>
      </w:r>
      <w:r w:rsidR="008B7931">
        <w:rPr>
          <w:sz w:val="20"/>
          <w:lang w:val="en-US"/>
        </w:rPr>
        <w:t xml:space="preserve">ask ‘Drug Concentration' </w:t>
      </w:r>
      <w:r w:rsidR="008B7931" w:rsidRPr="008B7931">
        <w:rPr>
          <w:sz w:val="20"/>
          <w:lang w:val="en-US"/>
        </w:rPr>
        <w:t>www.fisme.science.uu.nl/toepassingen/22038</w:t>
      </w:r>
    </w:p>
  </w:footnote>
  <w:footnote w:id="9">
    <w:p w14:paraId="13781D03" w14:textId="07C7922D" w:rsidR="00B46538" w:rsidRPr="008B7931" w:rsidRDefault="00B46538">
      <w:pPr>
        <w:pStyle w:val="Voetnoottekst"/>
        <w:rPr>
          <w:sz w:val="16"/>
          <w:lang w:val="en-US"/>
        </w:rPr>
      </w:pPr>
      <w:r>
        <w:rPr>
          <w:rStyle w:val="Voetnootmarkering"/>
        </w:rPr>
        <w:footnoteRef/>
      </w:r>
      <w:r>
        <w:t xml:space="preserve"> </w:t>
      </w:r>
      <w:r w:rsidRPr="008B7931">
        <w:rPr>
          <w:sz w:val="20"/>
          <w:lang w:val="en-US"/>
        </w:rPr>
        <w:t xml:space="preserve">Drawn from </w:t>
      </w:r>
      <w:r w:rsidRPr="008B7931">
        <w:rPr>
          <w:i/>
          <w:sz w:val="20"/>
        </w:rPr>
        <w:t>mascil</w:t>
      </w:r>
      <w:r w:rsidRPr="008B7931">
        <w:rPr>
          <w:sz w:val="20"/>
          <w:lang w:val="en-US"/>
        </w:rPr>
        <w:t xml:space="preserve"> task ‘Brines’:</w:t>
      </w:r>
      <w:r w:rsidR="008B7931">
        <w:rPr>
          <w:sz w:val="20"/>
          <w:lang w:val="en-US"/>
        </w:rPr>
        <w:t xml:space="preserve"> </w:t>
      </w:r>
      <w:r w:rsidRPr="008B7931">
        <w:rPr>
          <w:sz w:val="20"/>
        </w:rPr>
        <w:t>www.fisme.science.uu.nl/toepassingen/28121/</w:t>
      </w:r>
    </w:p>
  </w:footnote>
  <w:footnote w:id="10">
    <w:p w14:paraId="29C607E4" w14:textId="77777777" w:rsidR="00B46538" w:rsidRPr="00057BE4" w:rsidRDefault="00B46538" w:rsidP="00883DC5">
      <w:pPr>
        <w:pStyle w:val="Voetnoottekst"/>
        <w:rPr>
          <w:lang w:val="en-US"/>
        </w:rPr>
      </w:pPr>
      <w:r>
        <w:rPr>
          <w:rStyle w:val="Voetnootmarkering"/>
        </w:rPr>
        <w:footnoteRef/>
      </w:r>
      <w:r>
        <w:t xml:space="preserve"> </w:t>
      </w:r>
      <w:r>
        <w:rPr>
          <w:lang w:val="en-US"/>
        </w:rPr>
        <w:t xml:space="preserve">See </w:t>
      </w:r>
      <w:r>
        <w:rPr>
          <w:i/>
        </w:rPr>
        <w:t>m</w:t>
      </w:r>
      <w:r w:rsidRPr="00FE4F96">
        <w:rPr>
          <w:i/>
        </w:rPr>
        <w:t>ascil</w:t>
      </w:r>
      <w:r>
        <w:rPr>
          <w:lang w:val="en-US"/>
        </w:rPr>
        <w:t xml:space="preserve"> deliverable 3.1 on </w:t>
      </w:r>
      <w:hyperlink r:id="rId4" w:history="1">
        <w:r w:rsidRPr="00E44AC5">
          <w:rPr>
            <w:rStyle w:val="Hyperlink"/>
            <w:lang w:val="en-US"/>
          </w:rPr>
          <w:t>www.mascil-project.eu</w:t>
        </w:r>
      </w:hyperlink>
      <w:r>
        <w:rPr>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30FBE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F9402C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954BE5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84444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040A7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1606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C818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90C1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300F5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8624EA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1776A5B"/>
    <w:multiLevelType w:val="hybridMultilevel"/>
    <w:tmpl w:val="E1FE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700DA8"/>
    <w:multiLevelType w:val="hybridMultilevel"/>
    <w:tmpl w:val="2FC05D86"/>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B13B1F"/>
    <w:multiLevelType w:val="hybridMultilevel"/>
    <w:tmpl w:val="C8CA65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09621D74"/>
    <w:multiLevelType w:val="hybridMultilevel"/>
    <w:tmpl w:val="31669614"/>
    <w:lvl w:ilvl="0" w:tplc="F4A29EA6">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5C1162"/>
    <w:multiLevelType w:val="hybridMultilevel"/>
    <w:tmpl w:val="5AC2245C"/>
    <w:lvl w:ilvl="0" w:tplc="0407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0B3D4B13"/>
    <w:multiLevelType w:val="hybridMultilevel"/>
    <w:tmpl w:val="94EEF55A"/>
    <w:lvl w:ilvl="0" w:tplc="3676B202">
      <w:start w:val="1"/>
      <w:numFmt w:val="decimal"/>
      <w:lvlText w:val="%1."/>
      <w:lvlJc w:val="left"/>
      <w:pPr>
        <w:ind w:left="1080" w:hanging="72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0DD9715E"/>
    <w:multiLevelType w:val="hybridMultilevel"/>
    <w:tmpl w:val="A5B0F532"/>
    <w:lvl w:ilvl="0" w:tplc="BBAAF556">
      <w:start w:val="1"/>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BB1A59"/>
    <w:multiLevelType w:val="hybridMultilevel"/>
    <w:tmpl w:val="1C623B2A"/>
    <w:lvl w:ilvl="0" w:tplc="0413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23819C3"/>
    <w:multiLevelType w:val="hybridMultilevel"/>
    <w:tmpl w:val="0A88596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nsid w:val="211904BF"/>
    <w:multiLevelType w:val="hybridMultilevel"/>
    <w:tmpl w:val="9F62EF66"/>
    <w:lvl w:ilvl="0" w:tplc="1242D944">
      <w:numFmt w:val="bullet"/>
      <w:lvlText w:val="-"/>
      <w:lvlJc w:val="left"/>
      <w:pPr>
        <w:ind w:left="1080" w:hanging="360"/>
      </w:pPr>
      <w:rPr>
        <w:rFonts w:ascii="Cambria" w:eastAsia="MS Mincho" w:hAnsi="Cambria" w:hint="default"/>
        <w:b w:val="0"/>
        <w:color w:val="auto"/>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8AF0249"/>
    <w:multiLevelType w:val="hybridMultilevel"/>
    <w:tmpl w:val="A36C057E"/>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875338"/>
    <w:multiLevelType w:val="hybridMultilevel"/>
    <w:tmpl w:val="8DE2925A"/>
    <w:lvl w:ilvl="0" w:tplc="F4A29EA6">
      <w:numFmt w:val="bullet"/>
      <w:lvlText w:val="-"/>
      <w:lvlJc w:val="left"/>
      <w:pPr>
        <w:ind w:left="2160" w:hanging="360"/>
      </w:pPr>
      <w:rPr>
        <w:rFonts w:ascii="Cambria" w:eastAsia="MS Mincho" w:hAnsi="Cambri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61155A6"/>
    <w:multiLevelType w:val="hybridMultilevel"/>
    <w:tmpl w:val="FBE889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38750F8B"/>
    <w:multiLevelType w:val="hybridMultilevel"/>
    <w:tmpl w:val="E6F85BB0"/>
    <w:lvl w:ilvl="0" w:tplc="F4A29EA6">
      <w:numFmt w:val="bullet"/>
      <w:lvlText w:val="-"/>
      <w:lvlJc w:val="left"/>
      <w:pPr>
        <w:ind w:left="360" w:hanging="360"/>
      </w:pPr>
      <w:rPr>
        <w:rFonts w:ascii="Cambria" w:eastAsia="MS Mincho" w:hAnsi="Cambri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8E025E3"/>
    <w:multiLevelType w:val="hybridMultilevel"/>
    <w:tmpl w:val="7948421A"/>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D85133"/>
    <w:multiLevelType w:val="hybridMultilevel"/>
    <w:tmpl w:val="8856DC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3F5D16AD"/>
    <w:multiLevelType w:val="hybridMultilevel"/>
    <w:tmpl w:val="50A05F9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052F11"/>
    <w:multiLevelType w:val="hybridMultilevel"/>
    <w:tmpl w:val="3C20F8A4"/>
    <w:lvl w:ilvl="0" w:tplc="04090001">
      <w:start w:val="1"/>
      <w:numFmt w:val="bullet"/>
      <w:lvlText w:val=""/>
      <w:lvlJc w:val="left"/>
      <w:pPr>
        <w:ind w:left="720" w:hanging="360"/>
      </w:pPr>
      <w:rPr>
        <w:rFonts w:ascii="Symbol" w:hAnsi="Symbol" w:hint="default"/>
      </w:rPr>
    </w:lvl>
    <w:lvl w:ilvl="1" w:tplc="55BA556A">
      <w:numFmt w:val="bullet"/>
      <w:lvlText w:val="•"/>
      <w:lvlJc w:val="left"/>
      <w:pPr>
        <w:ind w:left="1440" w:hanging="360"/>
      </w:pPr>
      <w:rPr>
        <w:rFonts w:ascii="139E9f04ArialUnicodeMS" w:eastAsia="MS Mincho" w:hAnsi="139E9f04ArialUnicode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951175"/>
    <w:multiLevelType w:val="hybridMultilevel"/>
    <w:tmpl w:val="C094A3CE"/>
    <w:lvl w:ilvl="0" w:tplc="C576B8F2">
      <w:start w:val="2"/>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DC752E"/>
    <w:multiLevelType w:val="hybridMultilevel"/>
    <w:tmpl w:val="7B143734"/>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65E5082"/>
    <w:multiLevelType w:val="hybridMultilevel"/>
    <w:tmpl w:val="94C25692"/>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A6A164F"/>
    <w:multiLevelType w:val="hybridMultilevel"/>
    <w:tmpl w:val="7F0C83F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nsid w:val="4CA46E51"/>
    <w:multiLevelType w:val="hybridMultilevel"/>
    <w:tmpl w:val="C9904FB8"/>
    <w:lvl w:ilvl="0" w:tplc="CD524D74">
      <w:numFmt w:val="bullet"/>
      <w:lvlText w:val="·"/>
      <w:lvlJc w:val="left"/>
      <w:pPr>
        <w:ind w:left="975" w:hanging="615"/>
      </w:pPr>
      <w:rPr>
        <w:rFonts w:ascii="Arial" w:eastAsia="MS Mincho"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D1E4DF6"/>
    <w:multiLevelType w:val="hybridMultilevel"/>
    <w:tmpl w:val="54EA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E7EB5"/>
    <w:multiLevelType w:val="hybridMultilevel"/>
    <w:tmpl w:val="912A9894"/>
    <w:lvl w:ilvl="0" w:tplc="F4A29EA6">
      <w:numFmt w:val="bullet"/>
      <w:lvlText w:val="-"/>
      <w:lvlJc w:val="left"/>
      <w:pPr>
        <w:ind w:left="360" w:hanging="360"/>
      </w:pPr>
      <w:rPr>
        <w:rFonts w:ascii="Cambria" w:eastAsia="MS Mincho" w:hAnsi="Cambri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51A859D2"/>
    <w:multiLevelType w:val="hybridMultilevel"/>
    <w:tmpl w:val="4AFCF3B4"/>
    <w:lvl w:ilvl="0" w:tplc="BD5643A4">
      <w:start w:val="1"/>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D35777"/>
    <w:multiLevelType w:val="hybridMultilevel"/>
    <w:tmpl w:val="7EBED872"/>
    <w:lvl w:ilvl="0" w:tplc="F4A29EA6">
      <w:numFmt w:val="bullet"/>
      <w:lvlText w:val="-"/>
      <w:lvlJc w:val="left"/>
      <w:pPr>
        <w:ind w:left="360" w:hanging="360"/>
      </w:pPr>
      <w:rPr>
        <w:rFonts w:ascii="Cambria" w:eastAsia="MS Mincho" w:hAnsi="Cambri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5BE7045"/>
    <w:multiLevelType w:val="hybridMultilevel"/>
    <w:tmpl w:val="86E6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2A427B"/>
    <w:multiLevelType w:val="hybridMultilevel"/>
    <w:tmpl w:val="34AA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A62045"/>
    <w:multiLevelType w:val="hybridMultilevel"/>
    <w:tmpl w:val="56881004"/>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FF6010"/>
    <w:multiLevelType w:val="hybridMultilevel"/>
    <w:tmpl w:val="2BD2A32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D931A6"/>
    <w:multiLevelType w:val="hybridMultilevel"/>
    <w:tmpl w:val="B7FE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19"/>
  </w:num>
  <w:num w:numId="4">
    <w:abstractNumId w:val="22"/>
  </w:num>
  <w:num w:numId="5">
    <w:abstractNumId w:val="10"/>
  </w:num>
  <w:num w:numId="6">
    <w:abstractNumId w:val="11"/>
  </w:num>
  <w:num w:numId="7">
    <w:abstractNumId w:val="12"/>
  </w:num>
  <w:num w:numId="8">
    <w:abstractNumId w:val="45"/>
  </w:num>
  <w:num w:numId="9">
    <w:abstractNumId w:val="13"/>
  </w:num>
  <w:num w:numId="10">
    <w:abstractNumId w:val="32"/>
  </w:num>
  <w:num w:numId="11">
    <w:abstractNumId w:val="31"/>
  </w:num>
  <w:num w:numId="12">
    <w:abstractNumId w:val="20"/>
  </w:num>
  <w:num w:numId="13">
    <w:abstractNumId w:val="39"/>
  </w:num>
  <w:num w:numId="14">
    <w:abstractNumId w:val="23"/>
  </w:num>
  <w:num w:numId="15">
    <w:abstractNumId w:val="28"/>
  </w:num>
  <w:num w:numId="16">
    <w:abstractNumId w:val="43"/>
  </w:num>
  <w:num w:numId="17">
    <w:abstractNumId w:val="27"/>
  </w:num>
  <w:num w:numId="18">
    <w:abstractNumId w:val="24"/>
  </w:num>
  <w:num w:numId="19">
    <w:abstractNumId w:val="44"/>
  </w:num>
  <w:num w:numId="20">
    <w:abstractNumId w:val="15"/>
  </w:num>
  <w:num w:numId="21">
    <w:abstractNumId w:val="17"/>
  </w:num>
  <w:num w:numId="22">
    <w:abstractNumId w:val="30"/>
  </w:num>
  <w:num w:numId="23">
    <w:abstractNumId w:val="40"/>
  </w:num>
  <w:num w:numId="24">
    <w:abstractNumId w:val="14"/>
  </w:num>
  <w:num w:numId="25">
    <w:abstractNumId w:val="16"/>
  </w:num>
  <w:num w:numId="26">
    <w:abstractNumId w:val="33"/>
  </w:num>
  <w:num w:numId="27">
    <w:abstractNumId w:val="34"/>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6"/>
  </w:num>
  <w:num w:numId="40">
    <w:abstractNumId w:val="29"/>
  </w:num>
  <w:num w:numId="41">
    <w:abstractNumId w:val="41"/>
  </w:num>
  <w:num w:numId="42">
    <w:abstractNumId w:val="42"/>
  </w:num>
  <w:num w:numId="43">
    <w:abstractNumId w:val="25"/>
  </w:num>
  <w:num w:numId="44">
    <w:abstractNumId w:val="38"/>
  </w:num>
  <w:num w:numId="45">
    <w:abstractNumId w:val="21"/>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57"/>
    <w:rsid w:val="000041E5"/>
    <w:rsid w:val="0000450E"/>
    <w:rsid w:val="000262A2"/>
    <w:rsid w:val="00033A4E"/>
    <w:rsid w:val="000559A0"/>
    <w:rsid w:val="00057A8C"/>
    <w:rsid w:val="00057BE4"/>
    <w:rsid w:val="00072806"/>
    <w:rsid w:val="000769DD"/>
    <w:rsid w:val="00081194"/>
    <w:rsid w:val="00091FD3"/>
    <w:rsid w:val="000B7640"/>
    <w:rsid w:val="000C5334"/>
    <w:rsid w:val="000C688F"/>
    <w:rsid w:val="000D2161"/>
    <w:rsid w:val="000E3851"/>
    <w:rsid w:val="00113F5F"/>
    <w:rsid w:val="00116522"/>
    <w:rsid w:val="0012374A"/>
    <w:rsid w:val="00124091"/>
    <w:rsid w:val="0012565C"/>
    <w:rsid w:val="0012686C"/>
    <w:rsid w:val="00171F96"/>
    <w:rsid w:val="00172D08"/>
    <w:rsid w:val="00173CA3"/>
    <w:rsid w:val="001765CC"/>
    <w:rsid w:val="001772F0"/>
    <w:rsid w:val="00183033"/>
    <w:rsid w:val="00183B9E"/>
    <w:rsid w:val="001B112C"/>
    <w:rsid w:val="001B131E"/>
    <w:rsid w:val="001C5E5A"/>
    <w:rsid w:val="001D5FE5"/>
    <w:rsid w:val="001E07EA"/>
    <w:rsid w:val="001E3A27"/>
    <w:rsid w:val="001F35E9"/>
    <w:rsid w:val="00206338"/>
    <w:rsid w:val="00211C2A"/>
    <w:rsid w:val="002129B4"/>
    <w:rsid w:val="00214B55"/>
    <w:rsid w:val="002166E4"/>
    <w:rsid w:val="00243475"/>
    <w:rsid w:val="0025598E"/>
    <w:rsid w:val="00267F2B"/>
    <w:rsid w:val="00276C08"/>
    <w:rsid w:val="00290A9B"/>
    <w:rsid w:val="002940F9"/>
    <w:rsid w:val="00297017"/>
    <w:rsid w:val="002B062D"/>
    <w:rsid w:val="002D1527"/>
    <w:rsid w:val="002F0438"/>
    <w:rsid w:val="002F0C39"/>
    <w:rsid w:val="00320E60"/>
    <w:rsid w:val="00323F11"/>
    <w:rsid w:val="00334DBD"/>
    <w:rsid w:val="00367817"/>
    <w:rsid w:val="003728B6"/>
    <w:rsid w:val="0038328D"/>
    <w:rsid w:val="003A3293"/>
    <w:rsid w:val="003A3FCE"/>
    <w:rsid w:val="003B1AA9"/>
    <w:rsid w:val="003D087C"/>
    <w:rsid w:val="003D286B"/>
    <w:rsid w:val="003E6024"/>
    <w:rsid w:val="003E70FA"/>
    <w:rsid w:val="00421152"/>
    <w:rsid w:val="004321BF"/>
    <w:rsid w:val="004460A4"/>
    <w:rsid w:val="00461CBF"/>
    <w:rsid w:val="00495C9D"/>
    <w:rsid w:val="004A6865"/>
    <w:rsid w:val="004C7644"/>
    <w:rsid w:val="004E4087"/>
    <w:rsid w:val="004F6977"/>
    <w:rsid w:val="005051E7"/>
    <w:rsid w:val="0051125E"/>
    <w:rsid w:val="00514571"/>
    <w:rsid w:val="00525340"/>
    <w:rsid w:val="00534962"/>
    <w:rsid w:val="005458F2"/>
    <w:rsid w:val="00554616"/>
    <w:rsid w:val="00563F2B"/>
    <w:rsid w:val="00565B7C"/>
    <w:rsid w:val="005700C5"/>
    <w:rsid w:val="00576A9B"/>
    <w:rsid w:val="00586FBA"/>
    <w:rsid w:val="0058750C"/>
    <w:rsid w:val="005A407F"/>
    <w:rsid w:val="005A6B6F"/>
    <w:rsid w:val="005B2619"/>
    <w:rsid w:val="005C0171"/>
    <w:rsid w:val="005D6C36"/>
    <w:rsid w:val="005E2D40"/>
    <w:rsid w:val="006065DA"/>
    <w:rsid w:val="006121E9"/>
    <w:rsid w:val="006401F4"/>
    <w:rsid w:val="00641B28"/>
    <w:rsid w:val="00650286"/>
    <w:rsid w:val="006619F9"/>
    <w:rsid w:val="00667F5F"/>
    <w:rsid w:val="006702D5"/>
    <w:rsid w:val="006715BE"/>
    <w:rsid w:val="006A07C6"/>
    <w:rsid w:val="006F531D"/>
    <w:rsid w:val="00700FB8"/>
    <w:rsid w:val="0070247E"/>
    <w:rsid w:val="00725706"/>
    <w:rsid w:val="007578DF"/>
    <w:rsid w:val="007657F3"/>
    <w:rsid w:val="007713A7"/>
    <w:rsid w:val="00775831"/>
    <w:rsid w:val="007A3389"/>
    <w:rsid w:val="007C6225"/>
    <w:rsid w:val="007C734D"/>
    <w:rsid w:val="007D7300"/>
    <w:rsid w:val="007E744D"/>
    <w:rsid w:val="007F6E8B"/>
    <w:rsid w:val="00804402"/>
    <w:rsid w:val="00805ACE"/>
    <w:rsid w:val="00817537"/>
    <w:rsid w:val="00827932"/>
    <w:rsid w:val="00832F35"/>
    <w:rsid w:val="00842772"/>
    <w:rsid w:val="00847272"/>
    <w:rsid w:val="008522E3"/>
    <w:rsid w:val="00856CFE"/>
    <w:rsid w:val="008575A3"/>
    <w:rsid w:val="00863E20"/>
    <w:rsid w:val="00883DC5"/>
    <w:rsid w:val="0089320C"/>
    <w:rsid w:val="008960A9"/>
    <w:rsid w:val="008A6E8A"/>
    <w:rsid w:val="008B6520"/>
    <w:rsid w:val="008B6664"/>
    <w:rsid w:val="008B7931"/>
    <w:rsid w:val="008C0650"/>
    <w:rsid w:val="008F7555"/>
    <w:rsid w:val="0090666E"/>
    <w:rsid w:val="00922E36"/>
    <w:rsid w:val="00926771"/>
    <w:rsid w:val="0094470E"/>
    <w:rsid w:val="0094788C"/>
    <w:rsid w:val="00962F3D"/>
    <w:rsid w:val="009A6DE1"/>
    <w:rsid w:val="009B0B7D"/>
    <w:rsid w:val="009C276B"/>
    <w:rsid w:val="009D2684"/>
    <w:rsid w:val="009D51DE"/>
    <w:rsid w:val="009E0217"/>
    <w:rsid w:val="009E7646"/>
    <w:rsid w:val="00A21D9B"/>
    <w:rsid w:val="00A341D5"/>
    <w:rsid w:val="00A42504"/>
    <w:rsid w:val="00A4531D"/>
    <w:rsid w:val="00A51DEE"/>
    <w:rsid w:val="00A703EE"/>
    <w:rsid w:val="00A760EF"/>
    <w:rsid w:val="00AB7FE7"/>
    <w:rsid w:val="00AC0E7B"/>
    <w:rsid w:val="00AC5A14"/>
    <w:rsid w:val="00AC7E0F"/>
    <w:rsid w:val="00AD197A"/>
    <w:rsid w:val="00AD76FC"/>
    <w:rsid w:val="00B043BF"/>
    <w:rsid w:val="00B1683E"/>
    <w:rsid w:val="00B16A7D"/>
    <w:rsid w:val="00B20CE2"/>
    <w:rsid w:val="00B35C9A"/>
    <w:rsid w:val="00B37DB3"/>
    <w:rsid w:val="00B46538"/>
    <w:rsid w:val="00B52AD6"/>
    <w:rsid w:val="00B6130D"/>
    <w:rsid w:val="00B95093"/>
    <w:rsid w:val="00B97D51"/>
    <w:rsid w:val="00BA209A"/>
    <w:rsid w:val="00BB3779"/>
    <w:rsid w:val="00BB6092"/>
    <w:rsid w:val="00BC0B2B"/>
    <w:rsid w:val="00BC5B89"/>
    <w:rsid w:val="00BD799F"/>
    <w:rsid w:val="00BD7B98"/>
    <w:rsid w:val="00BF2D47"/>
    <w:rsid w:val="00C02133"/>
    <w:rsid w:val="00C10163"/>
    <w:rsid w:val="00C3783D"/>
    <w:rsid w:val="00C60F57"/>
    <w:rsid w:val="00C61177"/>
    <w:rsid w:val="00C62CA9"/>
    <w:rsid w:val="00C62DF2"/>
    <w:rsid w:val="00C6317D"/>
    <w:rsid w:val="00C725B6"/>
    <w:rsid w:val="00C82095"/>
    <w:rsid w:val="00CA2085"/>
    <w:rsid w:val="00CA3265"/>
    <w:rsid w:val="00CB5F6B"/>
    <w:rsid w:val="00CD0E46"/>
    <w:rsid w:val="00CD461D"/>
    <w:rsid w:val="00CD5BEC"/>
    <w:rsid w:val="00CD7C4F"/>
    <w:rsid w:val="00CE5F8C"/>
    <w:rsid w:val="00CF5490"/>
    <w:rsid w:val="00D337B3"/>
    <w:rsid w:val="00D476BD"/>
    <w:rsid w:val="00D5183D"/>
    <w:rsid w:val="00D53102"/>
    <w:rsid w:val="00D65973"/>
    <w:rsid w:val="00D839E0"/>
    <w:rsid w:val="00D87963"/>
    <w:rsid w:val="00D9085D"/>
    <w:rsid w:val="00D91057"/>
    <w:rsid w:val="00DB63F9"/>
    <w:rsid w:val="00DC5A10"/>
    <w:rsid w:val="00DF0461"/>
    <w:rsid w:val="00DF2DCD"/>
    <w:rsid w:val="00E14C92"/>
    <w:rsid w:val="00E270A6"/>
    <w:rsid w:val="00E32A9A"/>
    <w:rsid w:val="00E363B1"/>
    <w:rsid w:val="00E404F1"/>
    <w:rsid w:val="00E40CD5"/>
    <w:rsid w:val="00E6207B"/>
    <w:rsid w:val="00E76764"/>
    <w:rsid w:val="00E9765D"/>
    <w:rsid w:val="00EA56E5"/>
    <w:rsid w:val="00EA64D4"/>
    <w:rsid w:val="00EB1249"/>
    <w:rsid w:val="00ED33A6"/>
    <w:rsid w:val="00ED6A09"/>
    <w:rsid w:val="00EE38FC"/>
    <w:rsid w:val="00EF0ECD"/>
    <w:rsid w:val="00EF2843"/>
    <w:rsid w:val="00EF761F"/>
    <w:rsid w:val="00F16F51"/>
    <w:rsid w:val="00F27D09"/>
    <w:rsid w:val="00F31163"/>
    <w:rsid w:val="00F32BBE"/>
    <w:rsid w:val="00F3561A"/>
    <w:rsid w:val="00F52F6C"/>
    <w:rsid w:val="00F835DD"/>
    <w:rsid w:val="00F858A9"/>
    <w:rsid w:val="00FC4765"/>
    <w:rsid w:val="00FC6108"/>
    <w:rsid w:val="00FE4F96"/>
    <w:rsid w:val="00FE7D86"/>
    <w:rsid w:val="00FF5D7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F7CC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GB" w:eastAsia="en-US"/>
    </w:rPr>
  </w:style>
  <w:style w:type="paragraph" w:styleId="Kop1">
    <w:name w:val="heading 1"/>
    <w:basedOn w:val="Normaal"/>
    <w:next w:val="Normaal"/>
    <w:link w:val="Kop1Teken"/>
    <w:uiPriority w:val="9"/>
    <w:qFormat/>
    <w:pPr>
      <w:keepNext/>
      <w:keepLines/>
      <w:spacing w:before="480"/>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pPr>
      <w:keepNext/>
      <w:keepLines/>
      <w:spacing w:before="200"/>
      <w:outlineLvl w:val="2"/>
    </w:pPr>
    <w:rPr>
      <w:rFonts w:ascii="Calibri" w:eastAsia="MS Gothic" w:hAnsi="Calibri"/>
      <w:b/>
      <w:bCs/>
      <w:color w:val="4F81BD"/>
      <w:sz w:val="22"/>
    </w:rPr>
  </w:style>
  <w:style w:type="paragraph" w:styleId="Kop4">
    <w:name w:val="heading 4"/>
    <w:basedOn w:val="Normaal"/>
    <w:next w:val="Normaal"/>
    <w:link w:val="Kop4Teken"/>
    <w:uiPriority w:val="99"/>
    <w:qFormat/>
    <w:pPr>
      <w:keepNext/>
      <w:keepLines/>
      <w:spacing w:before="200"/>
      <w:outlineLvl w:val="3"/>
    </w:pPr>
    <w:rPr>
      <w:rFonts w:ascii="Calibri" w:eastAsia="MS Gothic" w:hAnsi="Calibri"/>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Pr>
      <w:rFonts w:ascii="Calibri" w:eastAsia="MS Gothic" w:hAnsi="Calibri" w:cs="Times New Roman"/>
      <w:b/>
      <w:bCs/>
      <w:color w:val="345A8A"/>
      <w:sz w:val="32"/>
      <w:szCs w:val="32"/>
    </w:rPr>
  </w:style>
  <w:style w:type="character" w:customStyle="1" w:styleId="Kop2Teken">
    <w:name w:val="Kop 2 Teken"/>
    <w:basedOn w:val="Standaardalinea-lettertype"/>
    <w:link w:val="Kop2"/>
    <w:uiPriority w:val="99"/>
    <w:locked/>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Pr>
      <w:rFonts w:ascii="Calibri" w:eastAsia="MS Gothic" w:hAnsi="Calibri" w:cs="Times New Roman"/>
      <w:b/>
      <w:bCs/>
      <w:color w:val="4F81BD"/>
      <w:sz w:val="22"/>
    </w:rPr>
  </w:style>
  <w:style w:type="character" w:customStyle="1" w:styleId="Kop4Teken">
    <w:name w:val="Kop 4 Teken"/>
    <w:basedOn w:val="Standaardalinea-lettertype"/>
    <w:link w:val="Kop4"/>
    <w:uiPriority w:val="99"/>
    <w:locked/>
    <w:rPr>
      <w:rFonts w:ascii="Calibri" w:eastAsia="MS Gothic" w:hAnsi="Calibri" w:cs="Times New Roman"/>
      <w:b/>
      <w:bCs/>
      <w:i/>
      <w:iCs/>
      <w:color w:val="4F81BD"/>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Pr>
      <w:rFonts w:ascii="Lucida Grande" w:hAnsi="Lucida Grande" w:cs="Lucida Grande"/>
      <w:sz w:val="18"/>
      <w:szCs w:val="18"/>
    </w:rPr>
  </w:style>
  <w:style w:type="character" w:styleId="Hyperlink">
    <w:name w:val="Hyperlink"/>
    <w:basedOn w:val="Standaardalinea-lettertype"/>
    <w:uiPriority w:val="99"/>
    <w:rPr>
      <w:rFonts w:cs="Times New Roman"/>
      <w:color w:val="0000FF"/>
      <w:u w:val="single"/>
    </w:rPr>
  </w:style>
  <w:style w:type="paragraph" w:styleId="Geenafstand">
    <w:name w:val="No Spacing"/>
    <w:basedOn w:val="Normaal"/>
    <w:uiPriority w:val="99"/>
    <w:qFormat/>
    <w:rPr>
      <w:szCs w:val="32"/>
      <w:lang w:val="en-US"/>
    </w:rPr>
  </w:style>
  <w:style w:type="character" w:styleId="Verwijzingopmerking">
    <w:name w:val="annotation reference"/>
    <w:basedOn w:val="Standaardalinea-lettertype"/>
    <w:uiPriority w:val="99"/>
    <w:semiHidden/>
    <w:rPr>
      <w:rFonts w:cs="Times New Roman"/>
      <w:sz w:val="18"/>
      <w:szCs w:val="18"/>
    </w:rPr>
  </w:style>
  <w:style w:type="paragraph" w:styleId="Tekstopmerking">
    <w:name w:val="annotation text"/>
    <w:basedOn w:val="Normaal"/>
    <w:link w:val="TekstopmerkingTeken"/>
    <w:uiPriority w:val="99"/>
    <w:semiHidden/>
  </w:style>
  <w:style w:type="character" w:customStyle="1" w:styleId="TekstopmerkingTeken">
    <w:name w:val="Tekst opmerking Teken"/>
    <w:basedOn w:val="Standaardalinea-lettertype"/>
    <w:link w:val="Tekstopmerking"/>
    <w:uiPriority w:val="99"/>
    <w:semiHidden/>
    <w:locked/>
    <w:rPr>
      <w:rFonts w:cs="Times New Roman"/>
    </w:rPr>
  </w:style>
  <w:style w:type="paragraph" w:styleId="Voetnoottekst">
    <w:name w:val="footnote text"/>
    <w:basedOn w:val="Normaal"/>
    <w:link w:val="VoetnoottekstTeken"/>
    <w:uiPriority w:val="99"/>
  </w:style>
  <w:style w:type="character" w:customStyle="1" w:styleId="VoetnoottekstTeken">
    <w:name w:val="Voetnoottekst Teken"/>
    <w:basedOn w:val="Standaardalinea-lettertype"/>
    <w:link w:val="Voetnoottekst"/>
    <w:uiPriority w:val="99"/>
    <w:locked/>
    <w:rPr>
      <w:rFonts w:cs="Times New Roman"/>
    </w:rPr>
  </w:style>
  <w:style w:type="character" w:styleId="Voetnootmarkering">
    <w:name w:val="footnote reference"/>
    <w:basedOn w:val="Standaardalinea-lettertype"/>
    <w:uiPriority w:val="99"/>
    <w:rPr>
      <w:rFonts w:cs="Times New Roman"/>
      <w:vertAlign w:val="superscript"/>
    </w:rPr>
  </w:style>
  <w:style w:type="paragraph" w:styleId="Lijstalinea">
    <w:name w:val="List Paragraph"/>
    <w:basedOn w:val="Normaal"/>
    <w:uiPriority w:val="99"/>
    <w:qFormat/>
    <w:pPr>
      <w:ind w:left="720"/>
      <w:contextualSpacing/>
    </w:pPr>
  </w:style>
  <w:style w:type="paragraph" w:styleId="Voettekst">
    <w:name w:val="footer"/>
    <w:basedOn w:val="Normaal"/>
    <w:link w:val="VoettekstTeken"/>
    <w:uiPriority w:val="99"/>
    <w:pPr>
      <w:tabs>
        <w:tab w:val="center" w:pos="4320"/>
        <w:tab w:val="right" w:pos="8640"/>
      </w:tabs>
    </w:pPr>
  </w:style>
  <w:style w:type="character" w:customStyle="1" w:styleId="VoettekstTeken">
    <w:name w:val="Voettekst Teken"/>
    <w:basedOn w:val="Standaardalinea-lettertype"/>
    <w:link w:val="Voettekst"/>
    <w:uiPriority w:val="99"/>
    <w:locked/>
    <w:rPr>
      <w:rFonts w:cs="Times New Roman"/>
    </w:rPr>
  </w:style>
  <w:style w:type="character" w:styleId="Paginanummer">
    <w:name w:val="page number"/>
    <w:basedOn w:val="Standaardalinea-lettertype"/>
    <w:uiPriority w:val="99"/>
    <w:semiHidden/>
    <w:rPr>
      <w:rFonts w:cs="Times New Roman"/>
    </w:rPr>
  </w:style>
  <w:style w:type="paragraph" w:styleId="Inhopg1">
    <w:name w:val="toc 1"/>
    <w:basedOn w:val="Normaal"/>
    <w:next w:val="Normaal"/>
    <w:autoRedefine/>
    <w:uiPriority w:val="39"/>
  </w:style>
  <w:style w:type="paragraph" w:styleId="Inhopg2">
    <w:name w:val="toc 2"/>
    <w:basedOn w:val="Normaal"/>
    <w:next w:val="Normaal"/>
    <w:autoRedefine/>
    <w:uiPriority w:val="39"/>
    <w:pPr>
      <w:ind w:left="240"/>
    </w:pPr>
  </w:style>
  <w:style w:type="paragraph" w:styleId="Inhopg3">
    <w:name w:val="toc 3"/>
    <w:basedOn w:val="Normaal"/>
    <w:next w:val="Normaal"/>
    <w:autoRedefine/>
    <w:uiPriority w:val="99"/>
    <w:pPr>
      <w:ind w:left="480"/>
    </w:pPr>
  </w:style>
  <w:style w:type="paragraph" w:styleId="Inhopg4">
    <w:name w:val="toc 4"/>
    <w:basedOn w:val="Normaal"/>
    <w:next w:val="Normaal"/>
    <w:autoRedefine/>
    <w:uiPriority w:val="99"/>
    <w:pPr>
      <w:ind w:left="720"/>
    </w:pPr>
  </w:style>
  <w:style w:type="paragraph" w:styleId="Inhopg5">
    <w:name w:val="toc 5"/>
    <w:basedOn w:val="Normaal"/>
    <w:next w:val="Normaal"/>
    <w:autoRedefine/>
    <w:uiPriority w:val="99"/>
    <w:pPr>
      <w:ind w:left="960"/>
    </w:pPr>
  </w:style>
  <w:style w:type="paragraph" w:styleId="Inhopg6">
    <w:name w:val="toc 6"/>
    <w:basedOn w:val="Normaal"/>
    <w:next w:val="Normaal"/>
    <w:autoRedefine/>
    <w:uiPriority w:val="99"/>
    <w:pPr>
      <w:ind w:left="1200"/>
    </w:pPr>
  </w:style>
  <w:style w:type="paragraph" w:styleId="Inhopg7">
    <w:name w:val="toc 7"/>
    <w:basedOn w:val="Normaal"/>
    <w:next w:val="Normaal"/>
    <w:autoRedefine/>
    <w:uiPriority w:val="99"/>
    <w:pPr>
      <w:ind w:left="1440"/>
    </w:pPr>
  </w:style>
  <w:style w:type="paragraph" w:styleId="Inhopg8">
    <w:name w:val="toc 8"/>
    <w:basedOn w:val="Normaal"/>
    <w:next w:val="Normaal"/>
    <w:autoRedefine/>
    <w:uiPriority w:val="99"/>
    <w:pPr>
      <w:ind w:left="1680"/>
    </w:pPr>
  </w:style>
  <w:style w:type="paragraph" w:styleId="Inhopg9">
    <w:name w:val="toc 9"/>
    <w:basedOn w:val="Normaal"/>
    <w:next w:val="Normaal"/>
    <w:autoRedefine/>
    <w:uiPriority w:val="99"/>
    <w:pPr>
      <w:ind w:left="1920"/>
    </w:pPr>
  </w:style>
  <w:style w:type="paragraph" w:styleId="Onderwerpvanopmerking">
    <w:name w:val="annotation subject"/>
    <w:basedOn w:val="Tekstopmerking"/>
    <w:next w:val="Tekstopmerking"/>
    <w:link w:val="OnderwerpvanopmerkingTeken"/>
    <w:uiPriority w:val="99"/>
    <w:semiHidden/>
    <w:rPr>
      <w:b/>
      <w:bCs/>
      <w:sz w:val="20"/>
      <w:szCs w:val="20"/>
    </w:rPr>
  </w:style>
  <w:style w:type="character" w:customStyle="1" w:styleId="OnderwerpvanopmerkingTeken">
    <w:name w:val="Onderwerp van opmerking Teken"/>
    <w:basedOn w:val="TekstopmerkingTeken"/>
    <w:link w:val="Onderwerpvanopmerking"/>
    <w:uiPriority w:val="99"/>
    <w:semiHidden/>
    <w:locked/>
    <w:rPr>
      <w:rFonts w:cs="Times New Roman"/>
      <w:b/>
      <w:bCs/>
      <w:sz w:val="20"/>
      <w:szCs w:val="20"/>
    </w:rPr>
  </w:style>
  <w:style w:type="paragraph" w:styleId="Revisie">
    <w:name w:val="Revision"/>
    <w:hidden/>
    <w:uiPriority w:val="99"/>
    <w:semiHidden/>
    <w:rPr>
      <w:sz w:val="24"/>
      <w:szCs w:val="24"/>
      <w:lang w:val="en-GB" w:eastAsia="en-US"/>
    </w:rPr>
  </w:style>
  <w:style w:type="paragraph" w:customStyle="1" w:styleId="bullet1">
    <w:name w:val="bullet1"/>
    <w:basedOn w:val="Normaal"/>
    <w:uiPriority w:val="99"/>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GB" w:eastAsia="en-US"/>
    </w:rPr>
  </w:style>
  <w:style w:type="paragraph" w:styleId="Kop1">
    <w:name w:val="heading 1"/>
    <w:basedOn w:val="Normaal"/>
    <w:next w:val="Normaal"/>
    <w:link w:val="Kop1Teken"/>
    <w:uiPriority w:val="9"/>
    <w:qFormat/>
    <w:pPr>
      <w:keepNext/>
      <w:keepLines/>
      <w:spacing w:before="480"/>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pPr>
      <w:keepNext/>
      <w:keepLines/>
      <w:spacing w:before="200"/>
      <w:outlineLvl w:val="2"/>
    </w:pPr>
    <w:rPr>
      <w:rFonts w:ascii="Calibri" w:eastAsia="MS Gothic" w:hAnsi="Calibri"/>
      <w:b/>
      <w:bCs/>
      <w:color w:val="4F81BD"/>
      <w:sz w:val="22"/>
    </w:rPr>
  </w:style>
  <w:style w:type="paragraph" w:styleId="Kop4">
    <w:name w:val="heading 4"/>
    <w:basedOn w:val="Normaal"/>
    <w:next w:val="Normaal"/>
    <w:link w:val="Kop4Teken"/>
    <w:uiPriority w:val="99"/>
    <w:qFormat/>
    <w:pPr>
      <w:keepNext/>
      <w:keepLines/>
      <w:spacing w:before="200"/>
      <w:outlineLvl w:val="3"/>
    </w:pPr>
    <w:rPr>
      <w:rFonts w:ascii="Calibri" w:eastAsia="MS Gothic" w:hAnsi="Calibri"/>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Pr>
      <w:rFonts w:ascii="Calibri" w:eastAsia="MS Gothic" w:hAnsi="Calibri" w:cs="Times New Roman"/>
      <w:b/>
      <w:bCs/>
      <w:color w:val="345A8A"/>
      <w:sz w:val="32"/>
      <w:szCs w:val="32"/>
    </w:rPr>
  </w:style>
  <w:style w:type="character" w:customStyle="1" w:styleId="Kop2Teken">
    <w:name w:val="Kop 2 Teken"/>
    <w:basedOn w:val="Standaardalinea-lettertype"/>
    <w:link w:val="Kop2"/>
    <w:uiPriority w:val="99"/>
    <w:locked/>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Pr>
      <w:rFonts w:ascii="Calibri" w:eastAsia="MS Gothic" w:hAnsi="Calibri" w:cs="Times New Roman"/>
      <w:b/>
      <w:bCs/>
      <w:color w:val="4F81BD"/>
      <w:sz w:val="22"/>
    </w:rPr>
  </w:style>
  <w:style w:type="character" w:customStyle="1" w:styleId="Kop4Teken">
    <w:name w:val="Kop 4 Teken"/>
    <w:basedOn w:val="Standaardalinea-lettertype"/>
    <w:link w:val="Kop4"/>
    <w:uiPriority w:val="99"/>
    <w:locked/>
    <w:rPr>
      <w:rFonts w:ascii="Calibri" w:eastAsia="MS Gothic" w:hAnsi="Calibri" w:cs="Times New Roman"/>
      <w:b/>
      <w:bCs/>
      <w:i/>
      <w:iCs/>
      <w:color w:val="4F81BD"/>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Pr>
      <w:rFonts w:ascii="Lucida Grande" w:hAnsi="Lucida Grande" w:cs="Lucida Grande"/>
      <w:sz w:val="18"/>
      <w:szCs w:val="18"/>
    </w:rPr>
  </w:style>
  <w:style w:type="character" w:styleId="Hyperlink">
    <w:name w:val="Hyperlink"/>
    <w:basedOn w:val="Standaardalinea-lettertype"/>
    <w:uiPriority w:val="99"/>
    <w:rPr>
      <w:rFonts w:cs="Times New Roman"/>
      <w:color w:val="0000FF"/>
      <w:u w:val="single"/>
    </w:rPr>
  </w:style>
  <w:style w:type="paragraph" w:styleId="Geenafstand">
    <w:name w:val="No Spacing"/>
    <w:basedOn w:val="Normaal"/>
    <w:uiPriority w:val="99"/>
    <w:qFormat/>
    <w:rPr>
      <w:szCs w:val="32"/>
      <w:lang w:val="en-US"/>
    </w:rPr>
  </w:style>
  <w:style w:type="character" w:styleId="Verwijzingopmerking">
    <w:name w:val="annotation reference"/>
    <w:basedOn w:val="Standaardalinea-lettertype"/>
    <w:uiPriority w:val="99"/>
    <w:semiHidden/>
    <w:rPr>
      <w:rFonts w:cs="Times New Roman"/>
      <w:sz w:val="18"/>
      <w:szCs w:val="18"/>
    </w:rPr>
  </w:style>
  <w:style w:type="paragraph" w:styleId="Tekstopmerking">
    <w:name w:val="annotation text"/>
    <w:basedOn w:val="Normaal"/>
    <w:link w:val="TekstopmerkingTeken"/>
    <w:uiPriority w:val="99"/>
    <w:semiHidden/>
  </w:style>
  <w:style w:type="character" w:customStyle="1" w:styleId="TekstopmerkingTeken">
    <w:name w:val="Tekst opmerking Teken"/>
    <w:basedOn w:val="Standaardalinea-lettertype"/>
    <w:link w:val="Tekstopmerking"/>
    <w:uiPriority w:val="99"/>
    <w:semiHidden/>
    <w:locked/>
    <w:rPr>
      <w:rFonts w:cs="Times New Roman"/>
    </w:rPr>
  </w:style>
  <w:style w:type="paragraph" w:styleId="Voetnoottekst">
    <w:name w:val="footnote text"/>
    <w:basedOn w:val="Normaal"/>
    <w:link w:val="VoetnoottekstTeken"/>
    <w:uiPriority w:val="99"/>
  </w:style>
  <w:style w:type="character" w:customStyle="1" w:styleId="VoetnoottekstTeken">
    <w:name w:val="Voetnoottekst Teken"/>
    <w:basedOn w:val="Standaardalinea-lettertype"/>
    <w:link w:val="Voetnoottekst"/>
    <w:uiPriority w:val="99"/>
    <w:locked/>
    <w:rPr>
      <w:rFonts w:cs="Times New Roman"/>
    </w:rPr>
  </w:style>
  <w:style w:type="character" w:styleId="Voetnootmarkering">
    <w:name w:val="footnote reference"/>
    <w:basedOn w:val="Standaardalinea-lettertype"/>
    <w:uiPriority w:val="99"/>
    <w:rPr>
      <w:rFonts w:cs="Times New Roman"/>
      <w:vertAlign w:val="superscript"/>
    </w:rPr>
  </w:style>
  <w:style w:type="paragraph" w:styleId="Lijstalinea">
    <w:name w:val="List Paragraph"/>
    <w:basedOn w:val="Normaal"/>
    <w:uiPriority w:val="99"/>
    <w:qFormat/>
    <w:pPr>
      <w:ind w:left="720"/>
      <w:contextualSpacing/>
    </w:pPr>
  </w:style>
  <w:style w:type="paragraph" w:styleId="Voettekst">
    <w:name w:val="footer"/>
    <w:basedOn w:val="Normaal"/>
    <w:link w:val="VoettekstTeken"/>
    <w:uiPriority w:val="99"/>
    <w:pPr>
      <w:tabs>
        <w:tab w:val="center" w:pos="4320"/>
        <w:tab w:val="right" w:pos="8640"/>
      </w:tabs>
    </w:pPr>
  </w:style>
  <w:style w:type="character" w:customStyle="1" w:styleId="VoettekstTeken">
    <w:name w:val="Voettekst Teken"/>
    <w:basedOn w:val="Standaardalinea-lettertype"/>
    <w:link w:val="Voettekst"/>
    <w:uiPriority w:val="99"/>
    <w:locked/>
    <w:rPr>
      <w:rFonts w:cs="Times New Roman"/>
    </w:rPr>
  </w:style>
  <w:style w:type="character" w:styleId="Paginanummer">
    <w:name w:val="page number"/>
    <w:basedOn w:val="Standaardalinea-lettertype"/>
    <w:uiPriority w:val="99"/>
    <w:semiHidden/>
    <w:rPr>
      <w:rFonts w:cs="Times New Roman"/>
    </w:rPr>
  </w:style>
  <w:style w:type="paragraph" w:styleId="Inhopg1">
    <w:name w:val="toc 1"/>
    <w:basedOn w:val="Normaal"/>
    <w:next w:val="Normaal"/>
    <w:autoRedefine/>
    <w:uiPriority w:val="39"/>
  </w:style>
  <w:style w:type="paragraph" w:styleId="Inhopg2">
    <w:name w:val="toc 2"/>
    <w:basedOn w:val="Normaal"/>
    <w:next w:val="Normaal"/>
    <w:autoRedefine/>
    <w:uiPriority w:val="39"/>
    <w:pPr>
      <w:ind w:left="240"/>
    </w:pPr>
  </w:style>
  <w:style w:type="paragraph" w:styleId="Inhopg3">
    <w:name w:val="toc 3"/>
    <w:basedOn w:val="Normaal"/>
    <w:next w:val="Normaal"/>
    <w:autoRedefine/>
    <w:uiPriority w:val="99"/>
    <w:pPr>
      <w:ind w:left="480"/>
    </w:pPr>
  </w:style>
  <w:style w:type="paragraph" w:styleId="Inhopg4">
    <w:name w:val="toc 4"/>
    <w:basedOn w:val="Normaal"/>
    <w:next w:val="Normaal"/>
    <w:autoRedefine/>
    <w:uiPriority w:val="99"/>
    <w:pPr>
      <w:ind w:left="720"/>
    </w:pPr>
  </w:style>
  <w:style w:type="paragraph" w:styleId="Inhopg5">
    <w:name w:val="toc 5"/>
    <w:basedOn w:val="Normaal"/>
    <w:next w:val="Normaal"/>
    <w:autoRedefine/>
    <w:uiPriority w:val="99"/>
    <w:pPr>
      <w:ind w:left="960"/>
    </w:pPr>
  </w:style>
  <w:style w:type="paragraph" w:styleId="Inhopg6">
    <w:name w:val="toc 6"/>
    <w:basedOn w:val="Normaal"/>
    <w:next w:val="Normaal"/>
    <w:autoRedefine/>
    <w:uiPriority w:val="99"/>
    <w:pPr>
      <w:ind w:left="1200"/>
    </w:pPr>
  </w:style>
  <w:style w:type="paragraph" w:styleId="Inhopg7">
    <w:name w:val="toc 7"/>
    <w:basedOn w:val="Normaal"/>
    <w:next w:val="Normaal"/>
    <w:autoRedefine/>
    <w:uiPriority w:val="99"/>
    <w:pPr>
      <w:ind w:left="1440"/>
    </w:pPr>
  </w:style>
  <w:style w:type="paragraph" w:styleId="Inhopg8">
    <w:name w:val="toc 8"/>
    <w:basedOn w:val="Normaal"/>
    <w:next w:val="Normaal"/>
    <w:autoRedefine/>
    <w:uiPriority w:val="99"/>
    <w:pPr>
      <w:ind w:left="1680"/>
    </w:pPr>
  </w:style>
  <w:style w:type="paragraph" w:styleId="Inhopg9">
    <w:name w:val="toc 9"/>
    <w:basedOn w:val="Normaal"/>
    <w:next w:val="Normaal"/>
    <w:autoRedefine/>
    <w:uiPriority w:val="99"/>
    <w:pPr>
      <w:ind w:left="1920"/>
    </w:pPr>
  </w:style>
  <w:style w:type="paragraph" w:styleId="Onderwerpvanopmerking">
    <w:name w:val="annotation subject"/>
    <w:basedOn w:val="Tekstopmerking"/>
    <w:next w:val="Tekstopmerking"/>
    <w:link w:val="OnderwerpvanopmerkingTeken"/>
    <w:uiPriority w:val="99"/>
    <w:semiHidden/>
    <w:rPr>
      <w:b/>
      <w:bCs/>
      <w:sz w:val="20"/>
      <w:szCs w:val="20"/>
    </w:rPr>
  </w:style>
  <w:style w:type="character" w:customStyle="1" w:styleId="OnderwerpvanopmerkingTeken">
    <w:name w:val="Onderwerp van opmerking Teken"/>
    <w:basedOn w:val="TekstopmerkingTeken"/>
    <w:link w:val="Onderwerpvanopmerking"/>
    <w:uiPriority w:val="99"/>
    <w:semiHidden/>
    <w:locked/>
    <w:rPr>
      <w:rFonts w:cs="Times New Roman"/>
      <w:b/>
      <w:bCs/>
      <w:sz w:val="20"/>
      <w:szCs w:val="20"/>
    </w:rPr>
  </w:style>
  <w:style w:type="paragraph" w:styleId="Revisie">
    <w:name w:val="Revision"/>
    <w:hidden/>
    <w:uiPriority w:val="99"/>
    <w:semiHidden/>
    <w:rPr>
      <w:sz w:val="24"/>
      <w:szCs w:val="24"/>
      <w:lang w:val="en-GB" w:eastAsia="en-US"/>
    </w:rPr>
  </w:style>
  <w:style w:type="paragraph" w:customStyle="1" w:styleId="bullet1">
    <w:name w:val="bullet1"/>
    <w:basedOn w:val="Normaal"/>
    <w:uiPriority w:val="99"/>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2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mascil-project.eu" TargetMode="External"/><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primas-project.eu/artikel/en/1044/Tackling+unstructured+problems/" TargetMode="External"/><Relationship Id="rId4" Type="http://schemas.openxmlformats.org/officeDocument/2006/relationships/hyperlink" Target="http://www.mascil-project.eu" TargetMode="External"/><Relationship Id="rId1" Type="http://schemas.openxmlformats.org/officeDocument/2006/relationships/hyperlink" Target="http://www.primas-project.eu/artikel/en/1044/Tackling+unstructured+problems/" TargetMode="External"/><Relationship Id="rId2" Type="http://schemas.openxmlformats.org/officeDocument/2006/relationships/hyperlink" Target="http://www.primas-project.eu/artikel/en/1260/Student-led+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6CCAD-1A86-0B4C-AF97-93886502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4980</Words>
  <Characters>27395</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The MaScil project</vt:lpstr>
    </vt:vector>
  </TitlesOfParts>
  <Company>Freudenthal instituut</Company>
  <LinksUpToDate>false</LinksUpToDate>
  <CharactersWithSpaces>32311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MaScil project</dc:title>
  <dc:creator>Vincent Jonker</dc:creator>
  <cp:lastModifiedBy>Vincent Jonker</cp:lastModifiedBy>
  <cp:revision>2</cp:revision>
  <cp:lastPrinted>2014-06-02T07:19:00Z</cp:lastPrinted>
  <dcterms:created xsi:type="dcterms:W3CDTF">2014-06-04T04:24:00Z</dcterms:created>
  <dcterms:modified xsi:type="dcterms:W3CDTF">2014-06-04T04:24:00Z</dcterms:modified>
</cp:coreProperties>
</file>