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AA4D4" w14:textId="0592AF17" w:rsidR="00081271" w:rsidRDefault="00EA0DBB" w:rsidP="00117F97">
      <w:pPr>
        <w:pStyle w:val="Title"/>
      </w:pPr>
      <w:r>
        <w:t xml:space="preserve">Teacher guide: </w:t>
      </w:r>
      <w:r w:rsidR="00D11C4D">
        <w:t>Drug concentration</w:t>
      </w:r>
    </w:p>
    <w:p w14:paraId="537253F9" w14:textId="1BB7C4D7" w:rsidR="00117F97" w:rsidRPr="003077DF" w:rsidRDefault="00117F97">
      <w:pPr>
        <w:rPr>
          <w:color w:val="7F7F7F" w:themeColor="text1" w:themeTint="80"/>
        </w:rPr>
      </w:pPr>
      <w:r w:rsidRPr="003077DF">
        <w:rPr>
          <w:color w:val="7F7F7F" w:themeColor="text1" w:themeTint="80"/>
        </w:rPr>
        <w:t>http://www.fisme.science.uu.nl/toepassingen/</w:t>
      </w:r>
      <w:r w:rsidR="00D11C4D">
        <w:rPr>
          <w:color w:val="7F7F7F" w:themeColor="text1" w:themeTint="80"/>
        </w:rPr>
        <w:t>22038</w:t>
      </w:r>
    </w:p>
    <w:p w14:paraId="640C5424" w14:textId="77777777" w:rsidR="00117F97" w:rsidRDefault="00117F97"/>
    <w:p w14:paraId="465C7548" w14:textId="7B3B3066" w:rsidR="00EA0DBB" w:rsidRDefault="00EA0DBB">
      <w:r>
        <w:t>This activity is designed for 16 year old students (grad</w:t>
      </w:r>
      <w:r w:rsidR="00343A46">
        <w:t>e 10) as introduction to</w:t>
      </w:r>
      <w:r>
        <w:t xml:space="preserve"> difference equations</w:t>
      </w:r>
      <w:r w:rsidR="00343A46">
        <w:t xml:space="preserve"> in mathematics</w:t>
      </w:r>
      <w:r>
        <w:t>. It is an activity for two lessons.</w:t>
      </w:r>
    </w:p>
    <w:p w14:paraId="640C1CE7" w14:textId="7CFFEA1D" w:rsidR="00EA0DBB" w:rsidRPr="004B0D6B" w:rsidRDefault="00EA0DBB" w:rsidP="00343A46">
      <w:pPr>
        <w:pStyle w:val="Heading2"/>
        <w:rPr>
          <w:lang w:val="en-US"/>
        </w:rPr>
      </w:pPr>
      <w:r w:rsidRPr="004B0D6B">
        <w:rPr>
          <w:lang w:val="en-US"/>
        </w:rPr>
        <w:t>A sample lesson plan</w:t>
      </w:r>
    </w:p>
    <w:p w14:paraId="2E7660D5" w14:textId="2CAD080D" w:rsidR="00EA0DBB" w:rsidRPr="004B0D6B" w:rsidRDefault="00343A46">
      <w:pPr>
        <w:rPr>
          <w:b/>
          <w:lang w:val="en-US"/>
        </w:rPr>
      </w:pPr>
      <w:r w:rsidRPr="004B0D6B">
        <w:rPr>
          <w:b/>
          <w:lang w:val="en-US"/>
        </w:rPr>
        <w:t>Lesson 1</w:t>
      </w:r>
    </w:p>
    <w:p w14:paraId="1545F84B" w14:textId="00ACDBD4" w:rsidR="00EA0DBB" w:rsidRPr="00343A46" w:rsidRDefault="00EA0DBB" w:rsidP="00343A46">
      <w:pPr>
        <w:rPr>
          <w:sz w:val="20"/>
        </w:rPr>
      </w:pPr>
      <w:r w:rsidRPr="00343A46">
        <w:rPr>
          <w:sz w:val="20"/>
        </w:rPr>
        <w:t>10 minutes: create groups &amp; introduce the problem and the working plan and distribute the task</w:t>
      </w:r>
    </w:p>
    <w:p w14:paraId="3FBDAA47" w14:textId="5CF75FCA" w:rsidR="00EA0DBB" w:rsidRPr="00343A46" w:rsidRDefault="00EA0DBB" w:rsidP="00343A46">
      <w:pPr>
        <w:rPr>
          <w:sz w:val="20"/>
        </w:rPr>
      </w:pPr>
      <w:r w:rsidRPr="00343A46">
        <w:rPr>
          <w:sz w:val="20"/>
        </w:rPr>
        <w:t>10 minutes: students work in groups on the task</w:t>
      </w:r>
    </w:p>
    <w:p w14:paraId="1B4263B2" w14:textId="69B522D8" w:rsidR="00EA0DBB" w:rsidRPr="00343A46" w:rsidRDefault="00EA0DBB" w:rsidP="00343A46">
      <w:pPr>
        <w:rPr>
          <w:sz w:val="20"/>
        </w:rPr>
      </w:pPr>
      <w:r w:rsidRPr="00343A46">
        <w:rPr>
          <w:sz w:val="20"/>
        </w:rPr>
        <w:t>10 minutes: discuss with the whole class whether all groups have an idea how to start and how to proceed. Exchange strategies and make sure that everybody has an idea what is expected.</w:t>
      </w:r>
    </w:p>
    <w:p w14:paraId="6506AC02" w14:textId="7DF9DF16" w:rsidR="00EA0DBB" w:rsidRPr="00343A46" w:rsidRDefault="00EA0DBB" w:rsidP="00343A46">
      <w:pPr>
        <w:rPr>
          <w:sz w:val="20"/>
        </w:rPr>
      </w:pPr>
      <w:r w:rsidRPr="00343A46">
        <w:rPr>
          <w:sz w:val="20"/>
        </w:rPr>
        <w:t>15 minutes: students work on the task</w:t>
      </w:r>
      <w:r w:rsidR="00343A46">
        <w:rPr>
          <w:sz w:val="20"/>
        </w:rPr>
        <w:t>,</w:t>
      </w:r>
      <w:r w:rsidRPr="00343A46">
        <w:rPr>
          <w:sz w:val="20"/>
        </w:rPr>
        <w:t xml:space="preserve"> finish calculations and prepare the building blocks for their flyer.</w:t>
      </w:r>
    </w:p>
    <w:p w14:paraId="7A7019D5" w14:textId="6ADBC903" w:rsidR="00EA0DBB" w:rsidRPr="00343A46" w:rsidRDefault="00343A46">
      <w:pPr>
        <w:rPr>
          <w:b/>
        </w:rPr>
      </w:pPr>
      <w:r w:rsidRPr="00343A46">
        <w:rPr>
          <w:b/>
        </w:rPr>
        <w:t>Lesson 2</w:t>
      </w:r>
    </w:p>
    <w:p w14:paraId="1A004684" w14:textId="249A3E63" w:rsidR="00EA0DBB" w:rsidRPr="00343A46" w:rsidRDefault="00EA0DBB" w:rsidP="00343A46">
      <w:pPr>
        <w:rPr>
          <w:sz w:val="20"/>
        </w:rPr>
      </w:pPr>
      <w:r w:rsidRPr="00343A46">
        <w:rPr>
          <w:sz w:val="20"/>
        </w:rPr>
        <w:t>20 minutes: students finish their flyer</w:t>
      </w:r>
    </w:p>
    <w:p w14:paraId="179E07B4" w14:textId="56E59891" w:rsidR="00EA0DBB" w:rsidRPr="00343A46" w:rsidRDefault="00EA0DBB" w:rsidP="00343A46">
      <w:pPr>
        <w:rPr>
          <w:sz w:val="20"/>
        </w:rPr>
      </w:pPr>
      <w:r w:rsidRPr="00343A46">
        <w:rPr>
          <w:sz w:val="20"/>
        </w:rPr>
        <w:t>20 minutes: presentations of a few examples</w:t>
      </w:r>
    </w:p>
    <w:p w14:paraId="4C582612" w14:textId="30966DC7" w:rsidR="00EA0DBB" w:rsidRPr="00343A46" w:rsidRDefault="00EA0DBB" w:rsidP="00343A46">
      <w:pPr>
        <w:rPr>
          <w:sz w:val="20"/>
        </w:rPr>
      </w:pPr>
      <w:r w:rsidRPr="00343A46">
        <w:rPr>
          <w:sz w:val="20"/>
        </w:rPr>
        <w:t>10 minutes: reflection on the task (and positioning it in further work)</w:t>
      </w:r>
    </w:p>
    <w:p w14:paraId="6A3A2FE5" w14:textId="77777777" w:rsidR="00EA0DBB" w:rsidRDefault="00EA0DBB"/>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332"/>
      </w:tblGrid>
      <w:tr w:rsidR="007525F1" w14:paraId="74B96A4F" w14:textId="77777777" w:rsidTr="00D47B1E">
        <w:trPr>
          <w:trHeight w:val="2135"/>
          <w:jc w:val="center"/>
        </w:trPr>
        <w:tc>
          <w:tcPr>
            <w:tcW w:w="7332" w:type="dxa"/>
          </w:tcPr>
          <w:p w14:paraId="578A6E61" w14:textId="76559EB9" w:rsidR="007525F1" w:rsidRDefault="007525F1" w:rsidP="007525F1">
            <w:pPr>
              <w:jc w:val="center"/>
            </w:pPr>
            <w:r>
              <w:rPr>
                <w:rFonts w:ascii="Arial" w:hAnsi="Arial" w:cs="Arial"/>
                <w:noProof/>
                <w:sz w:val="20"/>
                <w:szCs w:val="20"/>
                <w:lang w:val="nl-NL"/>
              </w:rPr>
              <w:drawing>
                <wp:anchor distT="0" distB="0" distL="114300" distR="114300" simplePos="0" relativeHeight="251659264" behindDoc="0" locked="0" layoutInCell="1" allowOverlap="1" wp14:anchorId="4DB7045C" wp14:editId="23FF487A">
                  <wp:simplePos x="0" y="0"/>
                  <wp:positionH relativeFrom="margin">
                    <wp:posOffset>760095</wp:posOffset>
                  </wp:positionH>
                  <wp:positionV relativeFrom="margin">
                    <wp:posOffset>53975</wp:posOffset>
                  </wp:positionV>
                  <wp:extent cx="1781810" cy="1336675"/>
                  <wp:effectExtent l="0" t="0" r="0" b="9525"/>
                  <wp:wrapSquare wrapText="bothSides"/>
                  <wp:docPr id="4" name="Picture 4" descr="http://ger.nl/files/2012/02/pill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er.nl/files/2012/02/pill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810" cy="1336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0DBB" w14:paraId="6AEC42BD" w14:textId="77777777" w:rsidTr="00D47B1E">
        <w:trPr>
          <w:trHeight w:val="361"/>
          <w:jc w:val="center"/>
        </w:trPr>
        <w:tc>
          <w:tcPr>
            <w:tcW w:w="7332" w:type="dxa"/>
          </w:tcPr>
          <w:p w14:paraId="496A7EFD" w14:textId="77777777" w:rsidR="00EA0DBB" w:rsidRPr="00EA0DBB" w:rsidRDefault="00EA0DBB" w:rsidP="00EA0DBB">
            <w:pPr>
              <w:rPr>
                <w:sz w:val="18"/>
              </w:rPr>
            </w:pPr>
            <w:r w:rsidRPr="00EA0DBB">
              <w:rPr>
                <w:sz w:val="18"/>
              </w:rPr>
              <w:t>A doctor presents the following details about the use of a specific drug:</w:t>
            </w:r>
          </w:p>
          <w:p w14:paraId="159680C3" w14:textId="77777777" w:rsidR="00EA0DBB" w:rsidRPr="00EA0DBB" w:rsidRDefault="00EA0DBB" w:rsidP="00EA0DBB">
            <w:pPr>
              <w:pStyle w:val="ListParagraph"/>
              <w:numPr>
                <w:ilvl w:val="0"/>
                <w:numId w:val="3"/>
              </w:numPr>
              <w:rPr>
                <w:sz w:val="18"/>
              </w:rPr>
            </w:pPr>
            <w:r w:rsidRPr="00EA0DBB">
              <w:rPr>
                <w:sz w:val="18"/>
              </w:rPr>
              <w:t>An average of 25% of the drug leaves your body by secretion during a day.</w:t>
            </w:r>
          </w:p>
          <w:p w14:paraId="49D66BF1" w14:textId="77777777" w:rsidR="00EA0DBB" w:rsidRPr="00EA0DBB" w:rsidRDefault="00EA0DBB" w:rsidP="00EA0DBB">
            <w:pPr>
              <w:pStyle w:val="ListParagraph"/>
              <w:numPr>
                <w:ilvl w:val="0"/>
                <w:numId w:val="3"/>
              </w:numPr>
              <w:rPr>
                <w:sz w:val="18"/>
              </w:rPr>
            </w:pPr>
            <w:r w:rsidRPr="00EA0DBB">
              <w:rPr>
                <w:sz w:val="18"/>
              </w:rPr>
              <w:t>The drug is effective after a certain level is reached.</w:t>
            </w:r>
          </w:p>
          <w:p w14:paraId="41F7D1BF" w14:textId="77777777" w:rsidR="00EA0DBB" w:rsidRPr="00EA0DBB" w:rsidRDefault="00EA0DBB" w:rsidP="00EA0DBB">
            <w:pPr>
              <w:pStyle w:val="ListParagraph"/>
              <w:numPr>
                <w:ilvl w:val="0"/>
                <w:numId w:val="3"/>
              </w:numPr>
              <w:rPr>
                <w:sz w:val="18"/>
              </w:rPr>
            </w:pPr>
            <w:r w:rsidRPr="00EA0DBB">
              <w:rPr>
                <w:sz w:val="18"/>
              </w:rPr>
              <w:t>Therefore it takes a few days before the drug that you take every day is effective.</w:t>
            </w:r>
          </w:p>
          <w:p w14:paraId="5B365404" w14:textId="77777777" w:rsidR="00EA0DBB" w:rsidRPr="00EA0DBB" w:rsidRDefault="00EA0DBB" w:rsidP="00EA0DBB">
            <w:pPr>
              <w:pStyle w:val="ListParagraph"/>
              <w:numPr>
                <w:ilvl w:val="0"/>
                <w:numId w:val="3"/>
              </w:numPr>
              <w:rPr>
                <w:sz w:val="18"/>
              </w:rPr>
            </w:pPr>
            <w:r w:rsidRPr="00EA0DBB">
              <w:rPr>
                <w:sz w:val="18"/>
              </w:rPr>
              <w:t>Do not skip a day.</w:t>
            </w:r>
          </w:p>
          <w:p w14:paraId="4E42102B" w14:textId="77777777" w:rsidR="00EA0DBB" w:rsidRPr="00EA0DBB" w:rsidRDefault="00EA0DBB" w:rsidP="00EA0DBB">
            <w:pPr>
              <w:pStyle w:val="ListParagraph"/>
              <w:numPr>
                <w:ilvl w:val="0"/>
                <w:numId w:val="3"/>
              </w:numPr>
              <w:rPr>
                <w:sz w:val="18"/>
              </w:rPr>
            </w:pPr>
            <w:r w:rsidRPr="00EA0DBB">
              <w:rPr>
                <w:sz w:val="18"/>
              </w:rPr>
              <w:t>It can be unwise to compensate a day when you forgot the drug with a double dose the next day.</w:t>
            </w:r>
          </w:p>
          <w:p w14:paraId="57731EFB" w14:textId="77777777" w:rsidR="00EA0DBB" w:rsidRPr="00EA0DBB" w:rsidRDefault="00EA0DBB" w:rsidP="00EA0DBB">
            <w:pPr>
              <w:rPr>
                <w:sz w:val="18"/>
              </w:rPr>
            </w:pPr>
          </w:p>
          <w:p w14:paraId="76786975" w14:textId="77777777" w:rsidR="00EA0DBB" w:rsidRPr="00EA0DBB" w:rsidRDefault="00EA0DBB" w:rsidP="00EA0DBB">
            <w:pPr>
              <w:rPr>
                <w:b/>
                <w:bCs/>
                <w:sz w:val="18"/>
              </w:rPr>
            </w:pPr>
            <w:r w:rsidRPr="00EA0DBB">
              <w:rPr>
                <w:sz w:val="18"/>
              </w:rPr>
              <w:t>N.B. These details are a simplification of reality.</w:t>
            </w:r>
          </w:p>
          <w:p w14:paraId="0472AB63" w14:textId="77777777" w:rsidR="00EA0DBB" w:rsidRPr="00EA0DBB" w:rsidRDefault="00EA0DBB" w:rsidP="00EA0DBB">
            <w:pPr>
              <w:pStyle w:val="Heading1"/>
              <w:rPr>
                <w:sz w:val="22"/>
              </w:rPr>
            </w:pPr>
            <w:r w:rsidRPr="00EA0DBB">
              <w:rPr>
                <w:sz w:val="22"/>
              </w:rPr>
              <w:t>Investigation</w:t>
            </w:r>
          </w:p>
          <w:p w14:paraId="3E25AE6F" w14:textId="77777777" w:rsidR="00EA0DBB" w:rsidRPr="00EA0DBB" w:rsidRDefault="00EA0DBB" w:rsidP="00EA0DBB">
            <w:pPr>
              <w:pStyle w:val="ListParagraph"/>
              <w:numPr>
                <w:ilvl w:val="0"/>
                <w:numId w:val="4"/>
              </w:numPr>
              <w:rPr>
                <w:sz w:val="18"/>
              </w:rPr>
            </w:pPr>
            <w:r w:rsidRPr="00EA0DBB">
              <w:rPr>
                <w:sz w:val="18"/>
              </w:rPr>
              <w:t>Use calculations to investigate how the level of the drug changes when someone starts taking the drug in a daily dose of 1500 mg with for instance three times 500 mg.</w:t>
            </w:r>
          </w:p>
          <w:p w14:paraId="46A1BE60" w14:textId="77777777" w:rsidR="00EA0DBB" w:rsidRPr="00EA0DBB" w:rsidRDefault="00EA0DBB" w:rsidP="00EA0DBB">
            <w:pPr>
              <w:pStyle w:val="ListParagraph"/>
              <w:numPr>
                <w:ilvl w:val="0"/>
                <w:numId w:val="4"/>
              </w:numPr>
              <w:rPr>
                <w:sz w:val="18"/>
              </w:rPr>
            </w:pPr>
            <w:r w:rsidRPr="00EA0DBB">
              <w:rPr>
                <w:sz w:val="18"/>
              </w:rPr>
              <w:t>Are the consequences of skipping a day and/or of taking a double dose really so dramatic?</w:t>
            </w:r>
          </w:p>
          <w:p w14:paraId="461151D9" w14:textId="77777777" w:rsidR="00EA0DBB" w:rsidRPr="00EA0DBB" w:rsidRDefault="00EA0DBB" w:rsidP="00EA0DBB">
            <w:pPr>
              <w:pStyle w:val="ListParagraph"/>
              <w:numPr>
                <w:ilvl w:val="0"/>
                <w:numId w:val="4"/>
              </w:numPr>
              <w:rPr>
                <w:sz w:val="18"/>
              </w:rPr>
            </w:pPr>
            <w:r w:rsidRPr="00EA0DBB">
              <w:rPr>
                <w:sz w:val="18"/>
              </w:rPr>
              <w:t>Can each drug level be reached? Explain your answer.</w:t>
            </w:r>
          </w:p>
          <w:p w14:paraId="217DDE08" w14:textId="77777777" w:rsidR="00EA0DBB" w:rsidRPr="00EA0DBB" w:rsidRDefault="00EA0DBB" w:rsidP="00EA0DBB">
            <w:pPr>
              <w:pStyle w:val="Heading2"/>
              <w:rPr>
                <w:sz w:val="20"/>
              </w:rPr>
            </w:pPr>
            <w:r w:rsidRPr="00EA0DBB">
              <w:rPr>
                <w:sz w:val="20"/>
              </w:rPr>
              <w:t>Product</w:t>
            </w:r>
          </w:p>
          <w:p w14:paraId="02E01E04" w14:textId="0CBB6899" w:rsidR="00EA0DBB" w:rsidRPr="00343A46" w:rsidRDefault="00EA0DBB" w:rsidP="00343A46">
            <w:pPr>
              <w:rPr>
                <w:rFonts w:ascii="Arial" w:hAnsi="Arial" w:cs="Arial"/>
                <w:sz w:val="20"/>
                <w:szCs w:val="22"/>
              </w:rPr>
            </w:pPr>
            <w:r w:rsidRPr="00EA0DBB">
              <w:rPr>
                <w:sz w:val="18"/>
              </w:rPr>
              <w:t>Design a flyer for patients with answers to the above questions. Include graphs and/or tables to illustrate the progress of the drug level over several days.</w:t>
            </w:r>
          </w:p>
        </w:tc>
      </w:tr>
    </w:tbl>
    <w:p w14:paraId="56AC40CA" w14:textId="77777777" w:rsidR="007525F1" w:rsidRDefault="007525F1"/>
    <w:p w14:paraId="7E609EA7" w14:textId="6A765F69" w:rsidR="004B0D6B" w:rsidRDefault="004B0D6B" w:rsidP="004B0D6B">
      <w:pPr>
        <w:pStyle w:val="Heading1"/>
      </w:pPr>
      <w:r>
        <w:t>Suggestions</w:t>
      </w:r>
    </w:p>
    <w:p w14:paraId="0CDD5EC4" w14:textId="38661A82" w:rsidR="004B0D6B" w:rsidRPr="004B0D6B" w:rsidRDefault="004B0D6B" w:rsidP="004B0D6B">
      <w:r>
        <w:t>The task can be extended by asking students what happens when you vary the daily dose and/or the percentage by which the drug leaves your body. What is the effect on the resulting (converging) drug level? Such questions can also be used to differentiate within a class and to challenge high achievers.</w:t>
      </w:r>
    </w:p>
    <w:p w14:paraId="5BB36959" w14:textId="77777777" w:rsidR="004B0D6B" w:rsidRDefault="004B0D6B" w:rsidP="004B0D6B">
      <w:pPr>
        <w:pStyle w:val="Heading1"/>
      </w:pPr>
      <w:r>
        <w:t>Example student work</w:t>
      </w:r>
    </w:p>
    <w:p w14:paraId="032A1853" w14:textId="77777777" w:rsidR="00D11C4D" w:rsidRPr="00A3346F" w:rsidRDefault="00D11C4D" w:rsidP="00D11C4D">
      <w:r w:rsidRPr="00A3346F">
        <w:t xml:space="preserve">The illustrations below show parts of solutions of students. They illustrate the kind of reasoning of the students with repeated calculations using tables and graphs. This work can be used for the introduction of difference equations. As you can also see, with similar information students reached quite different results. This is important for reflecting on the relevancy for understanding </w:t>
      </w:r>
      <w:r>
        <w:t>such</w:t>
      </w:r>
      <w:r w:rsidRPr="00A3346F">
        <w:t xml:space="preserve"> mathematical processes in the world of work.</w:t>
      </w:r>
    </w:p>
    <w:p w14:paraId="4CA75D7A" w14:textId="00F3EA65" w:rsidR="007525F1" w:rsidRDefault="00D11C4D" w:rsidP="00D11C4D">
      <w:r w:rsidRPr="00A3346F">
        <w:t>Solution 3 shows the work of a small group (in Dutch) that really prepared a kind of flyer. The teacher of these students highly valued the reality character in the task</w:t>
      </w:r>
    </w:p>
    <w:p w14:paraId="5F37B5E5" w14:textId="7CC06EBD" w:rsidR="007525F1" w:rsidRDefault="00D11C4D" w:rsidP="00040FDD">
      <w:pPr>
        <w:pStyle w:val="Heading3"/>
      </w:pPr>
      <w:r>
        <w:lastRenderedPageBreak/>
        <w:t>Solution</w:t>
      </w:r>
      <w:r w:rsidR="007525F1">
        <w:t xml:space="preserv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2"/>
      </w:tblGrid>
      <w:tr w:rsidR="007525F1" w14:paraId="6D9F9628" w14:textId="77777777" w:rsidTr="00040FDD">
        <w:trPr>
          <w:trHeight w:val="4177"/>
          <w:jc w:val="center"/>
        </w:trPr>
        <w:tc>
          <w:tcPr>
            <w:tcW w:w="8392" w:type="dxa"/>
          </w:tcPr>
          <w:p w14:paraId="774A049B" w14:textId="3BA3A163" w:rsidR="007525F1" w:rsidRDefault="00040FDD" w:rsidP="00040FDD">
            <w:pPr>
              <w:jc w:val="center"/>
            </w:pPr>
            <w:r>
              <w:rPr>
                <w:noProof/>
                <w:lang w:val="nl-NL"/>
              </w:rPr>
              <w:drawing>
                <wp:inline distT="0" distB="0" distL="0" distR="0" wp14:anchorId="0F732D7B" wp14:editId="51E6DD73">
                  <wp:extent cx="5756910" cy="47790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9">
                            <a:extLst>
                              <a:ext uri="{28A0092B-C50C-407E-A947-70E740481C1C}">
                                <a14:useLocalDpi xmlns:a14="http://schemas.microsoft.com/office/drawing/2010/main" val="0"/>
                              </a:ext>
                            </a:extLst>
                          </a:blip>
                          <a:stretch>
                            <a:fillRect/>
                          </a:stretch>
                        </pic:blipFill>
                        <pic:spPr>
                          <a:xfrm>
                            <a:off x="0" y="0"/>
                            <a:ext cx="5756910" cy="4779010"/>
                          </a:xfrm>
                          <a:prstGeom prst="rect">
                            <a:avLst/>
                          </a:prstGeom>
                        </pic:spPr>
                      </pic:pic>
                    </a:graphicData>
                  </a:graphic>
                </wp:inline>
              </w:drawing>
            </w:r>
          </w:p>
        </w:tc>
      </w:tr>
    </w:tbl>
    <w:p w14:paraId="6F8F1579" w14:textId="77777777" w:rsidR="007525F1" w:rsidRDefault="007525F1" w:rsidP="007525F1"/>
    <w:p w14:paraId="2238B641" w14:textId="77777777" w:rsidR="007A79F4" w:rsidRPr="007525F1" w:rsidRDefault="007A79F4" w:rsidP="007525F1"/>
    <w:p w14:paraId="0AF2A6E4" w14:textId="3100EFA3" w:rsidR="00117F97" w:rsidRDefault="00D11C4D" w:rsidP="007A79F4">
      <w:pPr>
        <w:pStyle w:val="Heading3"/>
      </w:pPr>
      <w:r>
        <w:lastRenderedPageBreak/>
        <w:t>Solution</w:t>
      </w:r>
      <w:r w:rsidR="007525F1">
        <w:t xml:space="preserve">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2"/>
      </w:tblGrid>
      <w:tr w:rsidR="007525F1" w14:paraId="4E5446F8" w14:textId="77777777" w:rsidTr="007A79F4">
        <w:trPr>
          <w:trHeight w:val="4177"/>
          <w:jc w:val="center"/>
        </w:trPr>
        <w:tc>
          <w:tcPr>
            <w:tcW w:w="9282" w:type="dxa"/>
          </w:tcPr>
          <w:p w14:paraId="2DB9DCB1" w14:textId="0D8011E0" w:rsidR="007525F1" w:rsidRDefault="00040FDD" w:rsidP="00040FDD">
            <w:pPr>
              <w:jc w:val="center"/>
            </w:pPr>
            <w:r>
              <w:rPr>
                <w:noProof/>
                <w:lang w:val="nl-NL"/>
              </w:rPr>
              <w:drawing>
                <wp:inline distT="0" distB="0" distL="0" distR="0" wp14:anchorId="053A89C2" wp14:editId="4409B58A">
                  <wp:extent cx="5756910" cy="51219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121910"/>
                          </a:xfrm>
                          <a:prstGeom prst="rect">
                            <a:avLst/>
                          </a:prstGeom>
                        </pic:spPr>
                      </pic:pic>
                    </a:graphicData>
                  </a:graphic>
                </wp:inline>
              </w:drawing>
            </w:r>
          </w:p>
        </w:tc>
      </w:tr>
    </w:tbl>
    <w:p w14:paraId="6663DCFA" w14:textId="77777777" w:rsidR="007525F1" w:rsidRDefault="007525F1"/>
    <w:p w14:paraId="20215E14" w14:textId="78B77AC2" w:rsidR="007525F1" w:rsidRDefault="00D11C4D" w:rsidP="007A79F4">
      <w:pPr>
        <w:pStyle w:val="Heading2"/>
      </w:pPr>
      <w:r>
        <w:lastRenderedPageBreak/>
        <w:t>Solution</w:t>
      </w:r>
      <w:r w:rsidR="007525F1">
        <w:t xml:space="preserve">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2"/>
      </w:tblGrid>
      <w:tr w:rsidR="007525F1" w14:paraId="47693A50" w14:textId="77777777" w:rsidTr="007A79F4">
        <w:trPr>
          <w:trHeight w:val="4177"/>
          <w:jc w:val="center"/>
        </w:trPr>
        <w:tc>
          <w:tcPr>
            <w:tcW w:w="9282" w:type="dxa"/>
          </w:tcPr>
          <w:p w14:paraId="5C1C5EAF" w14:textId="13ACD2FC" w:rsidR="007525F1" w:rsidRDefault="00040FDD" w:rsidP="00040FDD">
            <w:pPr>
              <w:jc w:val="center"/>
            </w:pPr>
            <w:r>
              <w:rPr>
                <w:noProof/>
                <w:lang w:val="nl-NL"/>
              </w:rPr>
              <w:drawing>
                <wp:inline distT="0" distB="0" distL="0" distR="0" wp14:anchorId="6826B7CE" wp14:editId="700327C6">
                  <wp:extent cx="5756910" cy="78162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png"/>
                          <pic:cNvPicPr/>
                        </pic:nvPicPr>
                        <pic:blipFill>
                          <a:blip r:embed="rId11">
                            <a:extLst>
                              <a:ext uri="{28A0092B-C50C-407E-A947-70E740481C1C}">
                                <a14:useLocalDpi xmlns:a14="http://schemas.microsoft.com/office/drawing/2010/main" val="0"/>
                              </a:ext>
                            </a:extLst>
                          </a:blip>
                          <a:stretch>
                            <a:fillRect/>
                          </a:stretch>
                        </pic:blipFill>
                        <pic:spPr>
                          <a:xfrm>
                            <a:off x="0" y="0"/>
                            <a:ext cx="5756910" cy="7816215"/>
                          </a:xfrm>
                          <a:prstGeom prst="rect">
                            <a:avLst/>
                          </a:prstGeom>
                        </pic:spPr>
                      </pic:pic>
                    </a:graphicData>
                  </a:graphic>
                </wp:inline>
              </w:drawing>
            </w:r>
          </w:p>
        </w:tc>
      </w:tr>
    </w:tbl>
    <w:p w14:paraId="3B22F763" w14:textId="77777777" w:rsidR="007525F1" w:rsidRDefault="007525F1"/>
    <w:p w14:paraId="19F92E68" w14:textId="77777777" w:rsidR="00117F97" w:rsidRDefault="00117F97"/>
    <w:p w14:paraId="0775FA64" w14:textId="77777777" w:rsidR="00117F97" w:rsidRDefault="00117F97"/>
    <w:p w14:paraId="1C653DC7" w14:textId="45F0F1F9" w:rsidR="00687D5B" w:rsidRDefault="00D11C4D" w:rsidP="00687D5B">
      <w:pPr>
        <w:pStyle w:val="Heading1"/>
      </w:pPr>
      <w:r>
        <w:t>Source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06"/>
      </w:tblGrid>
      <w:tr w:rsidR="00687D5B" w14:paraId="63921563" w14:textId="77777777" w:rsidTr="00303F4D">
        <w:tc>
          <w:tcPr>
            <w:tcW w:w="2376" w:type="dxa"/>
          </w:tcPr>
          <w:p w14:paraId="72FFCC96" w14:textId="77777777" w:rsidR="00687D5B" w:rsidRDefault="00687D5B" w:rsidP="00303F4D">
            <w:r>
              <w:rPr>
                <w:rFonts w:ascii="Helvetica" w:hAnsi="Helvetica" w:cs="Helvetica"/>
                <w:noProof/>
                <w:lang w:val="nl-NL"/>
              </w:rPr>
              <w:drawing>
                <wp:inline distT="0" distB="0" distL="0" distR="0" wp14:anchorId="4766E6F5" wp14:editId="51B72609">
                  <wp:extent cx="1141095" cy="583226"/>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1509" cy="583437"/>
                          </a:xfrm>
                          <a:prstGeom prst="rect">
                            <a:avLst/>
                          </a:prstGeom>
                          <a:noFill/>
                          <a:ln>
                            <a:noFill/>
                          </a:ln>
                        </pic:spPr>
                      </pic:pic>
                    </a:graphicData>
                  </a:graphic>
                </wp:inline>
              </w:drawing>
            </w:r>
          </w:p>
        </w:tc>
        <w:tc>
          <w:tcPr>
            <w:tcW w:w="6906" w:type="dxa"/>
          </w:tcPr>
          <w:p w14:paraId="5A5899C4" w14:textId="77777777" w:rsidR="00687D5B" w:rsidRDefault="00687D5B" w:rsidP="00303F4D">
            <w:r>
              <w:t>Mathematics and Science for Life</w:t>
            </w:r>
          </w:p>
          <w:p w14:paraId="140FD709" w14:textId="77777777" w:rsidR="00687D5B" w:rsidRDefault="00687D5B" w:rsidP="00303F4D"/>
          <w:p w14:paraId="3EB93E26" w14:textId="77777777" w:rsidR="00687D5B" w:rsidRDefault="00687D5B" w:rsidP="00303F4D">
            <w:r w:rsidRPr="000A1535">
              <w:t>www.mascil-project.eu</w:t>
            </w:r>
          </w:p>
        </w:tc>
      </w:tr>
    </w:tbl>
    <w:p w14:paraId="764B7225" w14:textId="77777777" w:rsidR="00687D5B" w:rsidRPr="000A1535" w:rsidRDefault="00687D5B" w:rsidP="00687D5B"/>
    <w:p w14:paraId="6AD22F16" w14:textId="77777777" w:rsidR="00687D5B" w:rsidRPr="00687D5B" w:rsidRDefault="00687D5B" w:rsidP="00687D5B"/>
    <w:p w14:paraId="0B4ACECE" w14:textId="38038E26" w:rsidR="00117F97" w:rsidRPr="00EA0DBB" w:rsidRDefault="00D11C4D" w:rsidP="00117F97">
      <w:pPr>
        <w:rPr>
          <w:color w:val="7F7F7F" w:themeColor="text1" w:themeTint="80"/>
          <w:sz w:val="22"/>
          <w:lang w:val="nl-NL"/>
        </w:rPr>
      </w:pPr>
      <w:r w:rsidRPr="00EA0DBB">
        <w:rPr>
          <w:color w:val="7F7F7F" w:themeColor="text1" w:themeTint="80"/>
          <w:sz w:val="22"/>
          <w:lang w:val="nl-NL"/>
        </w:rPr>
        <w:t>Dutch project '</w:t>
      </w:r>
      <w:proofErr w:type="spellStart"/>
      <w:r w:rsidR="00117F97" w:rsidRPr="00EA0DBB">
        <w:rPr>
          <w:color w:val="7F7F7F" w:themeColor="text1" w:themeTint="80"/>
          <w:sz w:val="22"/>
          <w:lang w:val="nl-NL"/>
        </w:rPr>
        <w:t>Profi</w:t>
      </w:r>
      <w:proofErr w:type="spellEnd"/>
      <w:r w:rsidR="00117F97" w:rsidRPr="00EA0DBB">
        <w:rPr>
          <w:color w:val="7F7F7F" w:themeColor="text1" w:themeTint="80"/>
          <w:sz w:val="22"/>
          <w:lang w:val="nl-NL"/>
        </w:rPr>
        <w:t xml:space="preserve"> </w:t>
      </w:r>
      <w:r w:rsidRPr="00EA0DBB">
        <w:rPr>
          <w:color w:val="7F7F7F" w:themeColor="text1" w:themeTint="80"/>
          <w:sz w:val="22"/>
          <w:lang w:val="nl-NL"/>
        </w:rPr>
        <w:t>'</w:t>
      </w:r>
      <w:r w:rsidR="00117F97" w:rsidRPr="00EA0DBB">
        <w:rPr>
          <w:color w:val="7F7F7F" w:themeColor="text1" w:themeTint="80"/>
          <w:sz w:val="22"/>
          <w:lang w:val="nl-NL"/>
        </w:rPr>
        <w:t>, 'discrete analyse' (1997). Vervolgopdracht is verwerkt in pakketje DDM (1998, 2e experimentele versie):</w:t>
      </w:r>
    </w:p>
    <w:p w14:paraId="4FEC6AB5" w14:textId="77777777" w:rsidR="00117F97" w:rsidRPr="00EA0DBB" w:rsidRDefault="00117F97" w:rsidP="00117F97">
      <w:pPr>
        <w:rPr>
          <w:color w:val="7F7F7F" w:themeColor="text1" w:themeTint="80"/>
          <w:sz w:val="22"/>
          <w:lang w:val="nl-NL"/>
        </w:rPr>
      </w:pPr>
      <w:r w:rsidRPr="00EA0DBB">
        <w:rPr>
          <w:color w:val="7F7F7F" w:themeColor="text1" w:themeTint="80"/>
          <w:sz w:val="22"/>
          <w:lang w:val="nl-NL"/>
        </w:rPr>
        <w:t>http://www.fisme.science.uu.nl/toepassingen/00669/</w:t>
      </w:r>
    </w:p>
    <w:p w14:paraId="3BC69299" w14:textId="3B27EB04" w:rsidR="00117F97" w:rsidRDefault="00D11C4D" w:rsidP="00117F97">
      <w:pPr>
        <w:rPr>
          <w:color w:val="7F7F7F" w:themeColor="text1" w:themeTint="80"/>
          <w:sz w:val="22"/>
          <w:lang w:val="en-US"/>
        </w:rPr>
      </w:pPr>
      <w:r>
        <w:rPr>
          <w:color w:val="7F7F7F" w:themeColor="text1" w:themeTint="80"/>
          <w:sz w:val="22"/>
          <w:lang w:val="en-US"/>
        </w:rPr>
        <w:t>Also published in</w:t>
      </w:r>
      <w:r w:rsidR="00117F97" w:rsidRPr="00117F97">
        <w:rPr>
          <w:color w:val="7F7F7F" w:themeColor="text1" w:themeTint="80"/>
          <w:sz w:val="22"/>
          <w:lang w:val="en-US"/>
        </w:rPr>
        <w:t xml:space="preserve">: </w:t>
      </w:r>
      <w:proofErr w:type="spellStart"/>
      <w:r w:rsidR="00117F97" w:rsidRPr="00117F97">
        <w:rPr>
          <w:color w:val="7F7F7F" w:themeColor="text1" w:themeTint="80"/>
          <w:sz w:val="22"/>
          <w:lang w:val="en-US"/>
        </w:rPr>
        <w:t>Wageningse</w:t>
      </w:r>
      <w:proofErr w:type="spellEnd"/>
      <w:r w:rsidR="00117F97" w:rsidRPr="00117F97">
        <w:rPr>
          <w:color w:val="7F7F7F" w:themeColor="text1" w:themeTint="80"/>
          <w:sz w:val="22"/>
          <w:lang w:val="en-US"/>
        </w:rPr>
        <w:t xml:space="preserve"> </w:t>
      </w:r>
      <w:proofErr w:type="spellStart"/>
      <w:r w:rsidR="00117F97" w:rsidRPr="00117F97">
        <w:rPr>
          <w:color w:val="7F7F7F" w:themeColor="text1" w:themeTint="80"/>
          <w:sz w:val="22"/>
          <w:lang w:val="en-US"/>
        </w:rPr>
        <w:t>methode</w:t>
      </w:r>
      <w:proofErr w:type="spellEnd"/>
      <w:r w:rsidR="00117F97" w:rsidRPr="00117F97">
        <w:rPr>
          <w:color w:val="7F7F7F" w:themeColor="text1" w:themeTint="80"/>
          <w:sz w:val="22"/>
          <w:lang w:val="en-US"/>
        </w:rPr>
        <w:t xml:space="preserve"> VWO4, </w:t>
      </w:r>
      <w:proofErr w:type="spellStart"/>
      <w:r w:rsidR="00117F97" w:rsidRPr="00117F97">
        <w:rPr>
          <w:color w:val="7F7F7F" w:themeColor="text1" w:themeTint="80"/>
          <w:sz w:val="22"/>
          <w:lang w:val="en-US"/>
        </w:rPr>
        <w:t>deel</w:t>
      </w:r>
      <w:proofErr w:type="spellEnd"/>
      <w:r w:rsidR="00117F97" w:rsidRPr="00117F97">
        <w:rPr>
          <w:color w:val="7F7F7F" w:themeColor="text1" w:themeTint="80"/>
          <w:sz w:val="22"/>
          <w:lang w:val="en-US"/>
        </w:rPr>
        <w:t xml:space="preserve"> 2 (p. 23, </w:t>
      </w:r>
      <w:proofErr w:type="spellStart"/>
      <w:r w:rsidR="00117F97" w:rsidRPr="00117F97">
        <w:rPr>
          <w:color w:val="7F7F7F" w:themeColor="text1" w:themeTint="80"/>
          <w:sz w:val="22"/>
          <w:lang w:val="en-US"/>
        </w:rPr>
        <w:t>versie</w:t>
      </w:r>
      <w:proofErr w:type="spellEnd"/>
      <w:r w:rsidR="00117F97" w:rsidRPr="00117F97">
        <w:rPr>
          <w:color w:val="7F7F7F" w:themeColor="text1" w:themeTint="80"/>
          <w:sz w:val="22"/>
          <w:lang w:val="en-US"/>
        </w:rPr>
        <w:t xml:space="preserve"> 2000)</w:t>
      </w:r>
    </w:p>
    <w:p w14:paraId="4BF2C030" w14:textId="77777777" w:rsidR="003077DF" w:rsidRDefault="003077DF" w:rsidP="00117F97">
      <w:pPr>
        <w:rPr>
          <w:color w:val="7F7F7F" w:themeColor="text1" w:themeTint="80"/>
          <w:sz w:val="22"/>
          <w:lang w:val="en-US"/>
        </w:rPr>
      </w:pPr>
    </w:p>
    <w:p w14:paraId="3AC3CBA7" w14:textId="1F65A015" w:rsidR="003077DF" w:rsidRDefault="00D11C4D" w:rsidP="00117F97">
      <w:pPr>
        <w:rPr>
          <w:color w:val="7F7F7F" w:themeColor="text1" w:themeTint="80"/>
          <w:sz w:val="22"/>
          <w:lang w:val="en-US"/>
        </w:rPr>
      </w:pPr>
      <w:r>
        <w:rPr>
          <w:color w:val="7F7F7F" w:themeColor="text1" w:themeTint="80"/>
          <w:sz w:val="22"/>
          <w:lang w:val="en-US"/>
        </w:rPr>
        <w:t>Dutch version</w:t>
      </w:r>
      <w:r w:rsidR="003077DF">
        <w:rPr>
          <w:color w:val="7F7F7F" w:themeColor="text1" w:themeTint="80"/>
          <w:sz w:val="22"/>
          <w:lang w:val="en-US"/>
        </w:rPr>
        <w:t xml:space="preserve"> (</w:t>
      </w:r>
      <w:proofErr w:type="spellStart"/>
      <w:r>
        <w:rPr>
          <w:color w:val="7F7F7F" w:themeColor="text1" w:themeTint="80"/>
          <w:sz w:val="22"/>
          <w:lang w:val="en-US"/>
        </w:rPr>
        <w:t>medicijnspiegel</w:t>
      </w:r>
      <w:proofErr w:type="spellEnd"/>
      <w:r w:rsidR="003077DF">
        <w:rPr>
          <w:color w:val="7F7F7F" w:themeColor="text1" w:themeTint="80"/>
          <w:sz w:val="22"/>
          <w:lang w:val="en-US"/>
        </w:rPr>
        <w:t>):</w:t>
      </w:r>
    </w:p>
    <w:p w14:paraId="046893D2" w14:textId="5A9C93D4" w:rsidR="003077DF" w:rsidRPr="003077DF" w:rsidRDefault="003077DF" w:rsidP="00117F97">
      <w:pPr>
        <w:rPr>
          <w:color w:val="7F7F7F" w:themeColor="text1" w:themeTint="80"/>
          <w:sz w:val="22"/>
          <w:lang w:val="en-US"/>
        </w:rPr>
      </w:pPr>
      <w:r w:rsidRPr="003077DF">
        <w:rPr>
          <w:color w:val="7F7F7F" w:themeColor="text1" w:themeTint="80"/>
          <w:sz w:val="22"/>
          <w:lang w:val="en-US"/>
        </w:rPr>
        <w:t>http://www.fisme.science.uu.nl/toepassingen/</w:t>
      </w:r>
      <w:r w:rsidR="00D11C4D">
        <w:rPr>
          <w:color w:val="7F7F7F" w:themeColor="text1" w:themeTint="80"/>
          <w:sz w:val="22"/>
          <w:lang w:val="en-US"/>
        </w:rPr>
        <w:t>28001</w:t>
      </w:r>
      <w:r w:rsidRPr="003077DF">
        <w:rPr>
          <w:color w:val="7F7F7F" w:themeColor="text1" w:themeTint="80"/>
          <w:sz w:val="22"/>
          <w:lang w:val="en-US"/>
        </w:rPr>
        <w:t>/</w:t>
      </w:r>
    </w:p>
    <w:sectPr w:rsidR="003077DF" w:rsidRPr="003077DF" w:rsidSect="00081271">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EBBD" w14:textId="77777777" w:rsidR="007A79F4" w:rsidRDefault="007A79F4" w:rsidP="007A79F4">
      <w:r>
        <w:separator/>
      </w:r>
    </w:p>
  </w:endnote>
  <w:endnote w:type="continuationSeparator" w:id="0">
    <w:p w14:paraId="7108A762" w14:textId="77777777" w:rsidR="007A79F4" w:rsidRDefault="007A79F4" w:rsidP="007A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FED99" w14:textId="77777777" w:rsidR="007A79F4" w:rsidRDefault="007A79F4" w:rsidP="00B351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00AE00" w14:textId="77777777" w:rsidR="007A79F4" w:rsidRDefault="007A7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260DC" w14:textId="77777777" w:rsidR="00D47B1E" w:rsidRDefault="00D47B1E" w:rsidP="00D47B1E">
    <w:pPr>
      <w:pStyle w:val="Footer"/>
      <w:jc w:val="right"/>
    </w:pPr>
    <w:bookmarkStart w:id="0" w:name="_GoBack"/>
    <w:bookmarkEnd w:id="0"/>
  </w:p>
  <w:p w14:paraId="3A3A9AD5" w14:textId="1D7C5171" w:rsidR="00D47B1E" w:rsidRPr="0025486D" w:rsidRDefault="00D47B1E" w:rsidP="00D47B1E">
    <w:pPr>
      <w:pStyle w:val="Footer"/>
      <w:rPr>
        <w:sz w:val="16"/>
        <w:szCs w:val="16"/>
        <w:lang w:val="en-US"/>
      </w:rPr>
    </w:pPr>
    <w:r w:rsidRPr="005D792B">
      <w:rPr>
        <w:rFonts w:ascii="Calibri" w:hAnsi="Calibri"/>
        <w:sz w:val="16"/>
        <w:szCs w:val="16"/>
        <w:lang w:val="en-US"/>
      </w:rPr>
      <w:t xml:space="preserve">The </w:t>
    </w:r>
    <w:proofErr w:type="spellStart"/>
    <w:r w:rsidRPr="005D792B">
      <w:rPr>
        <w:rFonts w:ascii="Calibri" w:hAnsi="Calibri"/>
        <w:sz w:val="16"/>
        <w:szCs w:val="16"/>
        <w:lang w:val="en-US"/>
      </w:rPr>
      <w:t>mascil</w:t>
    </w:r>
    <w:proofErr w:type="spellEnd"/>
    <w:r w:rsidRPr="005D792B">
      <w:rPr>
        <w:rFonts w:ascii="Calibri" w:hAnsi="Calibri"/>
        <w:sz w:val="16"/>
        <w:szCs w:val="16"/>
        <w:lang w:val="en-US"/>
      </w:rPr>
      <w:t xml:space="preserve"> </w:t>
    </w:r>
    <w:r w:rsidRPr="0025486D">
      <w:rPr>
        <w:sz w:val="16"/>
        <w:szCs w:val="16"/>
        <w:lang w:val="en-US"/>
      </w:rPr>
      <w:t xml:space="preserve">project has received funding from the European Union’s Seventh Framework </w:t>
    </w:r>
    <w:proofErr w:type="spellStart"/>
    <w:r w:rsidRPr="0025486D">
      <w:rPr>
        <w:sz w:val="16"/>
        <w:szCs w:val="16"/>
        <w:lang w:val="en-US"/>
      </w:rPr>
      <w:t>Programme</w:t>
    </w:r>
    <w:proofErr w:type="spellEnd"/>
    <w:r w:rsidRPr="0025486D">
      <w:rPr>
        <w:sz w:val="16"/>
        <w:szCs w:val="16"/>
        <w:lang w:val="en-US"/>
      </w:rPr>
      <w:t xml:space="preserve"> for research, technological development and demonstration under grant agreement no 320 693</w:t>
    </w:r>
  </w:p>
  <w:p w14:paraId="7552BF15" w14:textId="77777777" w:rsidR="00D47B1E" w:rsidRPr="0025486D" w:rsidRDefault="00D47B1E" w:rsidP="00D47B1E">
    <w:pPr>
      <w:pStyle w:val="Footer"/>
      <w:rPr>
        <w:sz w:val="16"/>
        <w:szCs w:val="16"/>
        <w:lang w:val="en-US"/>
      </w:rPr>
    </w:pPr>
  </w:p>
  <w:p w14:paraId="02798371" w14:textId="454D20E9" w:rsidR="00D47B1E" w:rsidRPr="0025486D" w:rsidRDefault="0025486D" w:rsidP="00D47B1E">
    <w:pPr>
      <w:pStyle w:val="Footer"/>
      <w:rPr>
        <w:sz w:val="16"/>
        <w:szCs w:val="16"/>
        <w:lang w:val="en-US"/>
      </w:rPr>
    </w:pPr>
    <w:r>
      <w:rPr>
        <w:noProof/>
        <w:lang w:val="nl-NL"/>
      </w:rPr>
      <w:drawing>
        <wp:anchor distT="0" distB="0" distL="114300" distR="114300" simplePos="0" relativeHeight="251659264" behindDoc="0" locked="0" layoutInCell="1" allowOverlap="1" wp14:anchorId="0AB42E71" wp14:editId="3AF461B6">
          <wp:simplePos x="0" y="0"/>
          <wp:positionH relativeFrom="margin">
            <wp:posOffset>5566410</wp:posOffset>
          </wp:positionH>
          <wp:positionV relativeFrom="margin">
            <wp:posOffset>8671560</wp:posOffset>
          </wp:positionV>
          <wp:extent cx="517525" cy="337820"/>
          <wp:effectExtent l="0" t="0" r="0" b="5080"/>
          <wp:wrapSquare wrapText="bothSides"/>
          <wp:docPr id="6"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D47B1E" w:rsidRPr="0025486D">
      <w:rPr>
        <w:sz w:val="16"/>
        <w:szCs w:val="16"/>
        <w:lang w:val="en-US"/>
      </w:rPr>
      <w:t>©</w:t>
    </w:r>
    <w:r w:rsidR="008A796B" w:rsidRPr="0025486D">
      <w:rPr>
        <w:sz w:val="16"/>
        <w:szCs w:val="16"/>
        <w:lang w:val="en-US"/>
      </w:rPr>
      <w:t xml:space="preserve"> 2015 </w:t>
    </w:r>
    <w:proofErr w:type="spellStart"/>
    <w:r w:rsidR="008A796B" w:rsidRPr="0025486D">
      <w:rPr>
        <w:sz w:val="16"/>
        <w:szCs w:val="16"/>
        <w:lang w:val="en-US"/>
      </w:rPr>
      <w:t>mascil</w:t>
    </w:r>
    <w:proofErr w:type="spellEnd"/>
    <w:r w:rsidR="008A796B" w:rsidRPr="0025486D">
      <w:rPr>
        <w:sz w:val="16"/>
        <w:szCs w:val="16"/>
        <w:lang w:val="en-US"/>
      </w:rPr>
      <w:t xml:space="preserve"> project (G.A. no. 320693), lead partner: University of Education Freiburg; </w:t>
    </w:r>
    <w:r>
      <w:rPr>
        <w:sz w:val="16"/>
        <w:szCs w:val="16"/>
        <w:lang w:val="en-US"/>
      </w:rPr>
      <w:br/>
    </w:r>
    <w:r w:rsidR="008A796B" w:rsidRPr="0025486D">
      <w:rPr>
        <w:sz w:val="16"/>
        <w:szCs w:val="16"/>
        <w:lang w:val="en-US"/>
      </w:rPr>
      <w:t xml:space="preserve">CC BY_NC_SA 4.0 </w:t>
    </w:r>
    <w:r w:rsidR="008A796B" w:rsidRPr="0025486D">
      <w:rPr>
        <w:noProof/>
        <w:sz w:val="16"/>
        <w:szCs w:val="16"/>
        <w:lang w:val="nl-NL"/>
      </w:rPr>
      <w:drawing>
        <wp:inline distT="0" distB="0" distL="0" distR="0" wp14:anchorId="2C360AF8" wp14:editId="3C5F3170">
          <wp:extent cx="1019175" cy="26226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jpg"/>
                  <pic:cNvPicPr/>
                </pic:nvPicPr>
                <pic:blipFill>
                  <a:blip r:embed="rId2">
                    <a:extLst>
                      <a:ext uri="{28A0092B-C50C-407E-A947-70E740481C1C}">
                        <a14:useLocalDpi xmlns:a14="http://schemas.microsoft.com/office/drawing/2010/main" val="0"/>
                      </a:ext>
                    </a:extLst>
                  </a:blip>
                  <a:stretch>
                    <a:fillRect/>
                  </a:stretch>
                </pic:blipFill>
                <pic:spPr>
                  <a:xfrm>
                    <a:off x="0" y="0"/>
                    <a:ext cx="1029584" cy="264948"/>
                  </a:xfrm>
                  <a:prstGeom prst="rect">
                    <a:avLst/>
                  </a:prstGeom>
                </pic:spPr>
              </pic:pic>
            </a:graphicData>
          </a:graphic>
        </wp:inline>
      </w:drawing>
    </w:r>
    <w:r w:rsidR="008A796B" w:rsidRPr="0025486D">
      <w:rPr>
        <w:sz w:val="16"/>
        <w:szCs w:val="16"/>
        <w:lang w:val="en-US"/>
      </w:rPr>
      <w:t xml:space="preserve"> license granted </w:t>
    </w:r>
  </w:p>
  <w:p w14:paraId="3A68AFA6" w14:textId="2C59EC5F" w:rsidR="007A79F4" w:rsidRPr="0025486D" w:rsidRDefault="008A796B">
    <w:pPr>
      <w:pStyle w:val="Footer"/>
      <w:rPr>
        <w:sz w:val="16"/>
        <w:szCs w:val="16"/>
        <w:lang w:val="en-US"/>
      </w:rPr>
    </w:pPr>
    <w:r w:rsidRPr="0025486D">
      <w:rPr>
        <w:rFonts w:eastAsia="Times New Roman"/>
        <w:sz w:val="16"/>
        <w:szCs w:val="16"/>
      </w:rPr>
      <w:t xml:space="preserve">Original idea of this task: </w:t>
    </w:r>
    <w:proofErr w:type="spellStart"/>
    <w:r w:rsidRPr="0025486D">
      <w:rPr>
        <w:rFonts w:eastAsia="Times New Roman"/>
        <w:sz w:val="16"/>
        <w:szCs w:val="16"/>
      </w:rPr>
      <w:t>Mascil</w:t>
    </w:r>
    <w:proofErr w:type="spellEnd"/>
    <w:r w:rsidRPr="0025486D">
      <w:rPr>
        <w:rFonts w:eastAsia="Times New Roman"/>
        <w:sz w:val="16"/>
        <w:szCs w:val="16"/>
      </w:rPr>
      <w:t xml:space="preserve"> Team The Netherlands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CF59C" w14:textId="77777777" w:rsidR="0025486D" w:rsidRDefault="0025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94633" w14:textId="77777777" w:rsidR="007A79F4" w:rsidRDefault="007A79F4" w:rsidP="007A79F4">
      <w:r>
        <w:separator/>
      </w:r>
    </w:p>
  </w:footnote>
  <w:footnote w:type="continuationSeparator" w:id="0">
    <w:p w14:paraId="58628713" w14:textId="77777777" w:rsidR="007A79F4" w:rsidRDefault="007A79F4" w:rsidP="007A7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E1A38" w14:textId="77777777" w:rsidR="0025486D" w:rsidRDefault="00254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7E959" w14:textId="77777777" w:rsidR="00D47B1E" w:rsidRDefault="00D47B1E" w:rsidP="00D47B1E">
    <w:pPr>
      <w:pStyle w:val="Header"/>
      <w:jc w:val="right"/>
    </w:pPr>
    <w:r>
      <w:tab/>
    </w:r>
    <w:r>
      <w:tab/>
      <w:t xml:space="preserve"> </w:t>
    </w:r>
    <w:r>
      <w:rPr>
        <w:rFonts w:ascii="Arial" w:hAnsi="Arial" w:cs="Arial"/>
        <w:b/>
        <w:noProof/>
        <w:sz w:val="32"/>
        <w:szCs w:val="32"/>
        <w:lang w:val="nl-NL"/>
      </w:rPr>
      <w:drawing>
        <wp:inline distT="0" distB="0" distL="0" distR="0" wp14:anchorId="161FCCDB" wp14:editId="5D02B903">
          <wp:extent cx="919697" cy="474452"/>
          <wp:effectExtent l="0" t="0" r="0" b="1905"/>
          <wp:docPr id="7"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p w14:paraId="1008111E" w14:textId="77777777" w:rsidR="00D47B1E" w:rsidRPr="00D47B1E" w:rsidRDefault="00D47B1E" w:rsidP="00D47B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D4F7" w14:textId="77777777" w:rsidR="0025486D" w:rsidRDefault="00254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E07"/>
    <w:multiLevelType w:val="hybridMultilevel"/>
    <w:tmpl w:val="473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221632"/>
    <w:multiLevelType w:val="hybridMultilevel"/>
    <w:tmpl w:val="61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34ED3"/>
    <w:multiLevelType w:val="hybridMultilevel"/>
    <w:tmpl w:val="94B0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862D0"/>
    <w:multiLevelType w:val="hybridMultilevel"/>
    <w:tmpl w:val="E050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97"/>
    <w:rsid w:val="00040FDD"/>
    <w:rsid w:val="00081271"/>
    <w:rsid w:val="00117F97"/>
    <w:rsid w:val="0025486D"/>
    <w:rsid w:val="003077DF"/>
    <w:rsid w:val="00343A46"/>
    <w:rsid w:val="004B0D6B"/>
    <w:rsid w:val="00687D5B"/>
    <w:rsid w:val="00693799"/>
    <w:rsid w:val="006D19B5"/>
    <w:rsid w:val="007525F1"/>
    <w:rsid w:val="007A79F4"/>
    <w:rsid w:val="008A796B"/>
    <w:rsid w:val="009959BB"/>
    <w:rsid w:val="00C7485D"/>
    <w:rsid w:val="00D11C4D"/>
    <w:rsid w:val="00D47B1E"/>
    <w:rsid w:val="00D66371"/>
    <w:rsid w:val="00EA0D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D23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7F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525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F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7F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F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17F97"/>
    <w:pPr>
      <w:ind w:left="720"/>
      <w:contextualSpacing/>
    </w:pPr>
  </w:style>
  <w:style w:type="character" w:customStyle="1" w:styleId="Heading1Char">
    <w:name w:val="Heading 1 Char"/>
    <w:basedOn w:val="DefaultParagraphFont"/>
    <w:link w:val="Heading1"/>
    <w:uiPriority w:val="9"/>
    <w:rsid w:val="00117F97"/>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752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25F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40F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FDD"/>
    <w:rPr>
      <w:rFonts w:ascii="Lucida Grande" w:hAnsi="Lucida Grande" w:cs="Lucida Grande"/>
      <w:sz w:val="18"/>
      <w:szCs w:val="18"/>
    </w:rPr>
  </w:style>
  <w:style w:type="character" w:customStyle="1" w:styleId="Heading3Char">
    <w:name w:val="Heading 3 Char"/>
    <w:basedOn w:val="DefaultParagraphFont"/>
    <w:link w:val="Heading3"/>
    <w:uiPriority w:val="9"/>
    <w:rsid w:val="00040FD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A79F4"/>
    <w:pPr>
      <w:tabs>
        <w:tab w:val="center" w:pos="4320"/>
        <w:tab w:val="right" w:pos="8640"/>
      </w:tabs>
    </w:pPr>
  </w:style>
  <w:style w:type="character" w:customStyle="1" w:styleId="FooterChar">
    <w:name w:val="Footer Char"/>
    <w:basedOn w:val="DefaultParagraphFont"/>
    <w:link w:val="Footer"/>
    <w:uiPriority w:val="99"/>
    <w:rsid w:val="007A79F4"/>
  </w:style>
  <w:style w:type="character" w:styleId="PageNumber">
    <w:name w:val="page number"/>
    <w:basedOn w:val="DefaultParagraphFont"/>
    <w:uiPriority w:val="99"/>
    <w:semiHidden/>
    <w:unhideWhenUsed/>
    <w:rsid w:val="007A79F4"/>
  </w:style>
  <w:style w:type="paragraph" w:styleId="Header">
    <w:name w:val="header"/>
    <w:basedOn w:val="Normal"/>
    <w:link w:val="HeaderChar"/>
    <w:uiPriority w:val="99"/>
    <w:unhideWhenUsed/>
    <w:rsid w:val="00D47B1E"/>
    <w:pPr>
      <w:tabs>
        <w:tab w:val="center" w:pos="4536"/>
        <w:tab w:val="right" w:pos="9072"/>
      </w:tabs>
    </w:pPr>
  </w:style>
  <w:style w:type="character" w:customStyle="1" w:styleId="HeaderChar">
    <w:name w:val="Header Char"/>
    <w:basedOn w:val="DefaultParagraphFont"/>
    <w:link w:val="Header"/>
    <w:uiPriority w:val="99"/>
    <w:rsid w:val="00D47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7F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525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F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7F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F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17F97"/>
    <w:pPr>
      <w:ind w:left="720"/>
      <w:contextualSpacing/>
    </w:pPr>
  </w:style>
  <w:style w:type="character" w:customStyle="1" w:styleId="Heading1Char">
    <w:name w:val="Heading 1 Char"/>
    <w:basedOn w:val="DefaultParagraphFont"/>
    <w:link w:val="Heading1"/>
    <w:uiPriority w:val="9"/>
    <w:rsid w:val="00117F97"/>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752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25F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40F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FDD"/>
    <w:rPr>
      <w:rFonts w:ascii="Lucida Grande" w:hAnsi="Lucida Grande" w:cs="Lucida Grande"/>
      <w:sz w:val="18"/>
      <w:szCs w:val="18"/>
    </w:rPr>
  </w:style>
  <w:style w:type="character" w:customStyle="1" w:styleId="Heading3Char">
    <w:name w:val="Heading 3 Char"/>
    <w:basedOn w:val="DefaultParagraphFont"/>
    <w:link w:val="Heading3"/>
    <w:uiPriority w:val="9"/>
    <w:rsid w:val="00040FD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A79F4"/>
    <w:pPr>
      <w:tabs>
        <w:tab w:val="center" w:pos="4320"/>
        <w:tab w:val="right" w:pos="8640"/>
      </w:tabs>
    </w:pPr>
  </w:style>
  <w:style w:type="character" w:customStyle="1" w:styleId="FooterChar">
    <w:name w:val="Footer Char"/>
    <w:basedOn w:val="DefaultParagraphFont"/>
    <w:link w:val="Footer"/>
    <w:uiPriority w:val="99"/>
    <w:rsid w:val="007A79F4"/>
  </w:style>
  <w:style w:type="character" w:styleId="PageNumber">
    <w:name w:val="page number"/>
    <w:basedOn w:val="DefaultParagraphFont"/>
    <w:uiPriority w:val="99"/>
    <w:semiHidden/>
    <w:unhideWhenUsed/>
    <w:rsid w:val="007A79F4"/>
  </w:style>
  <w:style w:type="paragraph" w:styleId="Header">
    <w:name w:val="header"/>
    <w:basedOn w:val="Normal"/>
    <w:link w:val="HeaderChar"/>
    <w:uiPriority w:val="99"/>
    <w:unhideWhenUsed/>
    <w:rsid w:val="00D47B1E"/>
    <w:pPr>
      <w:tabs>
        <w:tab w:val="center" w:pos="4536"/>
        <w:tab w:val="right" w:pos="9072"/>
      </w:tabs>
    </w:pPr>
  </w:style>
  <w:style w:type="character" w:customStyle="1" w:styleId="HeaderChar">
    <w:name w:val="Header Char"/>
    <w:basedOn w:val="DefaultParagraphFont"/>
    <w:link w:val="Header"/>
    <w:uiPriority w:val="99"/>
    <w:rsid w:val="00D4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02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5FC87122.dotm</Template>
  <TotalTime>0</TotalTime>
  <Pages>6</Pages>
  <Words>495</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Freudenthal instituut</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Jonker</dc:creator>
  <cp:lastModifiedBy>Kuijpers, N.</cp:lastModifiedBy>
  <cp:revision>6</cp:revision>
  <cp:lastPrinted>2016-01-29T14:11:00Z</cp:lastPrinted>
  <dcterms:created xsi:type="dcterms:W3CDTF">2013-09-19T06:53:00Z</dcterms:created>
  <dcterms:modified xsi:type="dcterms:W3CDTF">2016-01-29T14:15:00Z</dcterms:modified>
</cp:coreProperties>
</file>